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国家税务总局关于省级注册税务师管理机构管理体制有关问题的通知</w:t>
      </w:r>
    </w:p>
    <w:p>
      <w:pPr>
        <w:rPr>
          <w:rFonts w:hint="eastAsia"/>
        </w:rPr>
      </w:pPr>
      <w:r>
        <w:rPr>
          <w:rFonts w:hint="eastAsia"/>
        </w:rPr>
        <w:t xml:space="preserve">  </w:t>
      </w:r>
    </w:p>
    <w:p>
      <w:pPr>
        <w:rPr>
          <w:rFonts w:hint="eastAsia"/>
        </w:rPr>
      </w:pPr>
      <w:r>
        <w:rPr>
          <w:rFonts w:hint="eastAsia"/>
        </w:rPr>
        <w:t xml:space="preserve">国税发〔1999〕234号 发文日期：1999年12月13日 【全文失效】 【主动公开】 【适用范围： 国家】  </w:t>
      </w:r>
    </w:p>
    <w:p>
      <w:pPr>
        <w:rPr>
          <w:rFonts w:hint="eastAsia"/>
        </w:rPr>
      </w:pPr>
    </w:p>
    <w:p>
      <w:pPr>
        <w:rPr>
          <w:rFonts w:hint="eastAsia"/>
        </w:rPr>
      </w:pPr>
      <w:r>
        <w:rPr>
          <w:rFonts w:hint="eastAsia"/>
        </w:rPr>
        <w:t xml:space="preserve">显示明细 隐藏明细字号：所属类别： 税收法规-&gt;征收管理-&gt;税务代理  资料简码： 030398  </w:t>
      </w:r>
    </w:p>
    <w:p>
      <w:pPr>
        <w:rPr>
          <w:rFonts w:hint="eastAsia"/>
        </w:rPr>
      </w:pPr>
      <w:r>
        <w:rPr>
          <w:rFonts w:hint="eastAsia"/>
        </w:rPr>
        <w:t xml:space="preserve">适用范围： 国家  地区： 中华人民共和国  </w:t>
      </w:r>
    </w:p>
    <w:p>
      <w:pPr>
        <w:rPr>
          <w:rFonts w:hint="eastAsia"/>
        </w:rPr>
      </w:pPr>
      <w:r>
        <w:rPr>
          <w:rFonts w:hint="eastAsia"/>
        </w:rPr>
        <w:t xml:space="preserve">行业类型： 通用政策  纳税人类型： 全部  </w:t>
      </w:r>
    </w:p>
    <w:p>
      <w:pPr>
        <w:rPr>
          <w:rFonts w:hint="eastAsia"/>
        </w:rPr>
      </w:pPr>
      <w:r>
        <w:rPr>
          <w:rFonts w:hint="eastAsia"/>
        </w:rPr>
        <w:t xml:space="preserve">文件级别： 规范性文件  是否税收优惠：   </w:t>
      </w:r>
    </w:p>
    <w:p>
      <w:pPr>
        <w:rPr>
          <w:rFonts w:hint="eastAsia"/>
        </w:rPr>
      </w:pPr>
      <w:r>
        <w:rPr>
          <w:rFonts w:hint="eastAsia"/>
        </w:rPr>
        <w:t xml:space="preserve">更新日期： 2023年01月05日  生效日期： --  </w:t>
      </w:r>
    </w:p>
    <w:p>
      <w:pPr>
        <w:rPr>
          <w:rFonts w:hint="eastAsia"/>
        </w:rPr>
      </w:pPr>
      <w:r>
        <w:rPr>
          <w:rFonts w:hint="eastAsia"/>
        </w:rPr>
        <w:t xml:space="preserve">国地税选择： 通用  信息公开选项： 主动公开  </w:t>
      </w:r>
    </w:p>
    <w:p>
      <w:pPr>
        <w:rPr>
          <w:rFonts w:hint="eastAsia"/>
        </w:rPr>
      </w:pPr>
      <w:r>
        <w:rPr>
          <w:rFonts w:hint="eastAsia"/>
        </w:rPr>
        <w:t xml:space="preserve"> 发文单位： 国家税务总局  关键字： 省级注册税务师 管理机构 管理体制  </w:t>
      </w:r>
    </w:p>
    <w:p>
      <w:pPr>
        <w:rPr>
          <w:rFonts w:hint="eastAsia"/>
        </w:rPr>
      </w:pPr>
      <w:r>
        <w:rPr>
          <w:rFonts w:hint="eastAsia"/>
        </w:rPr>
        <w:t xml:space="preserve">录入单位： 第七运维中心  备注： 2011-03  </w:t>
      </w:r>
    </w:p>
    <w:p>
      <w:pPr>
        <w:rPr>
          <w:rFonts w:hint="eastAsia"/>
        </w:rPr>
      </w:pPr>
    </w:p>
    <w:p>
      <w:pPr>
        <w:rPr>
          <w:rFonts w:hint="eastAsia"/>
        </w:rPr>
      </w:pPr>
    </w:p>
    <w:p>
      <w:pPr>
        <w:rPr>
          <w:rFonts w:hint="eastAsia"/>
        </w:rPr>
      </w:pPr>
      <w:r>
        <w:rPr>
          <w:rFonts w:hint="eastAsia"/>
        </w:rPr>
        <w:t xml:space="preserve">失效时间： </w:t>
      </w:r>
    </w:p>
    <w:p>
      <w:pPr>
        <w:rPr>
          <w:rFonts w:hint="eastAsia"/>
        </w:rPr>
      </w:pPr>
      <w:r>
        <w:rPr>
          <w:rFonts w:hint="eastAsia"/>
        </w:rPr>
        <w:t xml:space="preserve">失效原因：根据《国家税务总局关于公布全文和部分条款失效废止的税务规范性文件目录的公告》（国家税务总局公告2022年第24号）的规定，本文全文失效。 </w:t>
      </w:r>
    </w:p>
    <w:p>
      <w:pPr>
        <w:rPr>
          <w:rFonts w:hint="eastAsia"/>
        </w:rPr>
      </w:pPr>
    </w:p>
    <w:p>
      <w:pPr>
        <w:rPr>
          <w:rFonts w:hint="eastAsia"/>
        </w:rPr>
      </w:pPr>
      <w:bookmarkStart w:id="0" w:name="_GoBack"/>
      <w:r>
        <w:rPr>
          <w:rFonts w:hint="eastAsia"/>
        </w:rPr>
        <w:t>各省、自治区、直辖市和计划单列市国家税务局、地方税务局，注册税务师管理工作领导小组：</w:t>
      </w:r>
    </w:p>
    <w:p>
      <w:pPr>
        <w:rPr>
          <w:rFonts w:hint="eastAsia"/>
        </w:rPr>
      </w:pPr>
      <w:r>
        <w:rPr>
          <w:rFonts w:hint="eastAsia"/>
        </w:rPr>
        <w:t>　　为了加大对税务代理的管理力度，理顺管理机构的工作关系，现将省级注册税务师管理机构管理体制的有关问题通知如下：</w:t>
      </w:r>
    </w:p>
    <w:p>
      <w:pPr>
        <w:rPr>
          <w:rFonts w:hint="eastAsia"/>
        </w:rPr>
      </w:pPr>
      <w:r>
        <w:rPr>
          <w:rFonts w:hint="eastAsia"/>
        </w:rPr>
        <w:t>　　一、各省（自治区、直辖市和计划单列市，下同）组建的注册税务师管理工作领导小组（以下简称领导小组）和注册税务师管理中心（以下简称管理中心）为当地注册税务师的管理机构。管理中心和省注册税务师协会实行两块牌子、一套办事机构，行使行政管理职能和行业管理职能。管理中心主任兼协会秘书长。</w:t>
      </w:r>
    </w:p>
    <w:p>
      <w:pPr>
        <w:rPr>
          <w:rFonts w:hint="eastAsia"/>
        </w:rPr>
      </w:pPr>
      <w:r>
        <w:rPr>
          <w:rFonts w:hint="eastAsia"/>
        </w:rPr>
        <w:t>　　二、省管理中心为正处级事业单位，主任、副主任由领导小组推荐相应级别的人员，在征求总局注册税务师管理中心意见后，主任由各省国税局任命，副主任由省地税局任命（挂征管处副处长职位），并报总局备案。</w:t>
      </w:r>
    </w:p>
    <w:p>
      <w:pPr>
        <w:rPr>
          <w:rFonts w:hint="eastAsia"/>
        </w:rPr>
      </w:pPr>
      <w:r>
        <w:rPr>
          <w:rFonts w:hint="eastAsia"/>
        </w:rPr>
        <w:t>　　三、省管理中心人员从省国税局、地税局现有人员中调配，原则上国税局、地税局各出一半，由总局下达编制控制数（名额附后）。工作人员（含主任、副主任）应专职、固定，如确因工作需要须回原单位工作的，可按单位人员正常变动的程序办理，但省管理中心主任、副主任的变动，须经领导小组和总局注册税务师管理中心同意。</w:t>
      </w:r>
    </w:p>
    <w:p>
      <w:pPr>
        <w:rPr>
          <w:rFonts w:hint="eastAsia"/>
        </w:rPr>
      </w:pPr>
      <w:r>
        <w:rPr>
          <w:rFonts w:hint="eastAsia"/>
        </w:rPr>
        <w:t>　　四、在省管理中心的管理体制未完全理顺之前，管理中心的开办经费除由省国税局、地税局解决部分外，总局给予适当补助；工作人员的工资、正常经费、医疗、住房、福利，仍分别按隶属关系由省国税局、省地税局解决，其中，正常经费按人员所在单位标准拨给管理中心统一管理。今后的日常运行经费可逐步由协会通过按规定收取的会费、培训费等方式予以解决。</w:t>
      </w:r>
    </w:p>
    <w:p>
      <w:pPr>
        <w:rPr>
          <w:rFonts w:hint="eastAsia"/>
        </w:rPr>
      </w:pPr>
      <w:r>
        <w:rPr>
          <w:rFonts w:hint="eastAsia"/>
        </w:rPr>
        <w:t>　　五、省管理中心的行政和日常工作由省国税局代为管理，办公地点由省国税局负责解决。</w:t>
      </w:r>
    </w:p>
    <w:p>
      <w:pPr>
        <w:rPr>
          <w:rFonts w:hint="eastAsia"/>
        </w:rPr>
      </w:pPr>
      <w:r>
        <w:rPr>
          <w:rFonts w:hint="eastAsia"/>
        </w:rPr>
        <w:t>　　六、地（市）及地（市）以下原则上不设管理机构，有关税务代理方面的工作由省级管理机构直接管理，也可由省管理中心暂委托地（市）国家税务局或地方税务局征管部门代管。</w:t>
      </w:r>
    </w:p>
    <w:p>
      <w:pPr>
        <w:rPr>
          <w:rFonts w:hint="eastAsia"/>
        </w:rPr>
      </w:pPr>
      <w:r>
        <w:rPr>
          <w:rFonts w:hint="eastAsia"/>
        </w:rPr>
        <w:t>　　七、尚未组建管理机构的地方，领导小组由原资格审查委员会直接过渡而成，个别成员工作有变动的进行相应调整。</w:t>
      </w:r>
    </w:p>
    <w:p>
      <w:pPr>
        <w:rPr>
          <w:rFonts w:hint="eastAsia"/>
        </w:rPr>
      </w:pPr>
      <w:r>
        <w:rPr>
          <w:rFonts w:hint="eastAsia"/>
        </w:rPr>
        <w:t>　　八、总局注册税务师管理中心可以直接对省管理中心发文，省管理中心就有关税务代理方面的事宜对税务代理机构发文，必要时也可以和省国税局、地税局办公室联合发文。</w:t>
      </w:r>
    </w:p>
    <w:p>
      <w:pPr>
        <w:rPr>
          <w:rFonts w:hint="eastAsia"/>
        </w:rPr>
      </w:pPr>
      <w:r>
        <w:rPr>
          <w:rFonts w:hint="eastAsia"/>
        </w:rPr>
        <w:t>　　九、各地要顾全大局，密切配合，重视注册税务师管理机构的组建工作，帮助解决运行中的困难和问题，以确保税务代理清理整顿工作及注册税务师资格制度的顺利实施。</w:t>
      </w:r>
    </w:p>
    <w:p>
      <w:pPr>
        <w:rPr>
          <w:rFonts w:hint="eastAsia"/>
        </w:rPr>
      </w:pPr>
      <w:r>
        <w:rPr>
          <w:rFonts w:hint="eastAsia"/>
        </w:rPr>
        <w:t>　　十、过去有关规定与本通知不一致的，均按本通知执行。</w:t>
      </w:r>
    </w:p>
    <w:bookmarkEnd w:id="0"/>
    <w:p>
      <w:pPr>
        <w:rPr>
          <w:rFonts w:hint="eastAsia"/>
        </w:rPr>
      </w:pPr>
      <w:r>
        <w:rPr>
          <w:rFonts w:hint="eastAsia"/>
        </w:rPr>
        <w:t xml:space="preserve"> </w:t>
      </w:r>
    </w:p>
    <w:p>
      <w:pPr>
        <w:rPr>
          <w:rFonts w:hint="eastAsia"/>
        </w:rPr>
      </w:pPr>
      <w:r>
        <w:rPr>
          <w:rFonts w:hint="eastAsia"/>
          <w:lang w:val="en-US" w:eastAsia="zh-CN"/>
        </w:rPr>
        <w:t>附件：管理机构编制分配表</w:t>
      </w:r>
    </w:p>
    <w:p>
      <w:pPr>
        <w:rPr>
          <w:rFonts w:hint="eastAsia"/>
        </w:rPr>
      </w:pPr>
      <w:r>
        <w:rPr>
          <w:rFonts w:hint="eastAsia"/>
          <w:lang w:val="en-US" w:eastAsia="zh-CN"/>
        </w:rPr>
        <w:t>附件：各省管理机构编制分配表</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default" w:ascii="Times New Roman" w:hAnsi="Times New Roman" w:eastAsia="黑体" w:cs="Times New Roman"/>
          <w:i w:val="0"/>
          <w:color w:val="000000"/>
          <w:kern w:val="0"/>
          <w:sz w:val="24"/>
          <w:szCs w:val="24"/>
          <w:lang w:val="en-US" w:eastAsia="zh-CN" w:bidi="ar"/>
        </w:rPr>
        <w:t> </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29"/>
        <w:gridCol w:w="2131"/>
        <w:gridCol w:w="2130"/>
        <w:gridCol w:w="21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blHeader/>
        </w:trPr>
        <w:tc>
          <w:tcPr>
            <w:tcW w:w="2137" w:type="dxa"/>
            <w:tcBorders>
              <w:top w:val="single" w:color="auto" w:sz="8"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eastAsia" w:ascii="宋体" w:hAnsi="宋体" w:eastAsia="宋体" w:cs="宋体"/>
                <w:i w:val="0"/>
                <w:color w:val="000000"/>
                <w:kern w:val="0"/>
                <w:sz w:val="16"/>
                <w:szCs w:val="16"/>
                <w:lang w:val="en-US" w:eastAsia="zh-CN" w:bidi="ar"/>
              </w:rPr>
              <w:t>省市名称</w:t>
            </w:r>
          </w:p>
        </w:tc>
        <w:tc>
          <w:tcPr>
            <w:tcW w:w="2138" w:type="dxa"/>
            <w:tcBorders>
              <w:top w:val="single" w:color="auto" w:sz="8"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eastAsia" w:ascii="宋体" w:hAnsi="宋体" w:eastAsia="宋体" w:cs="宋体"/>
                <w:i w:val="0"/>
                <w:color w:val="000000"/>
                <w:kern w:val="0"/>
                <w:sz w:val="16"/>
                <w:szCs w:val="16"/>
                <w:lang w:val="en-US" w:eastAsia="zh-CN" w:bidi="ar"/>
              </w:rPr>
              <w:t>分配数（名）</w:t>
            </w:r>
          </w:p>
        </w:tc>
        <w:tc>
          <w:tcPr>
            <w:tcW w:w="2138" w:type="dxa"/>
            <w:tcBorders>
              <w:top w:val="single" w:color="auto" w:sz="8"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eastAsia" w:ascii="宋体" w:hAnsi="宋体" w:eastAsia="宋体" w:cs="宋体"/>
                <w:i w:val="0"/>
                <w:color w:val="000000"/>
                <w:kern w:val="0"/>
                <w:sz w:val="16"/>
                <w:szCs w:val="16"/>
                <w:lang w:val="en-US" w:eastAsia="zh-CN" w:bidi="ar"/>
              </w:rPr>
              <w:t>省市名称</w:t>
            </w:r>
          </w:p>
        </w:tc>
        <w:tc>
          <w:tcPr>
            <w:tcW w:w="2138" w:type="dxa"/>
            <w:tcBorders>
              <w:top w:val="single" w:color="auto" w:sz="8"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eastAsia" w:ascii="宋体" w:hAnsi="宋体" w:eastAsia="宋体" w:cs="宋体"/>
                <w:i w:val="0"/>
                <w:color w:val="000000"/>
                <w:kern w:val="0"/>
                <w:sz w:val="16"/>
                <w:szCs w:val="16"/>
                <w:lang w:val="en-US" w:eastAsia="zh-CN" w:bidi="ar"/>
              </w:rPr>
              <w:t>分配数（名）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海南省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厦门市</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湖南省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江苏省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湖北省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福建省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广东省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上海市</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广西壮族自治区</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新疆维吾尔自治区</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河南省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甘肃省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深圳市</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宁夏回族自治区</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贵州省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青海省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云南省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陕西省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四川省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黑龙江省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重庆市</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大连市</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安徽省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吉林省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江西省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辽宁省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山东省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北京市</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青岛市</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河北省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浙江省</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10</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天津市</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宁波市</w:t>
            </w:r>
          </w:p>
        </w:tc>
        <w:tc>
          <w:tcPr>
            <w:tcW w:w="2138" w:type="dxa"/>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6</w:t>
            </w:r>
          </w:p>
        </w:tc>
        <w:tc>
          <w:tcPr>
            <w:tcW w:w="2138" w:type="dxa"/>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山西省</w:t>
            </w:r>
          </w:p>
        </w:tc>
        <w:tc>
          <w:tcPr>
            <w:tcW w:w="2138"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37" w:type="dxa"/>
            <w:tcBorders>
              <w:top w:val="single" w:color="auto" w:sz="4" w:space="0"/>
              <w:left w:val="single" w:color="auto" w:sz="8" w:space="0"/>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内蒙古自治区</w:t>
            </w:r>
          </w:p>
        </w:tc>
        <w:tc>
          <w:tcPr>
            <w:tcW w:w="2138" w:type="dxa"/>
            <w:tcBorders>
              <w:top w:val="single" w:color="auto" w:sz="4" w:space="0"/>
              <w:left w:val="single" w:color="auto" w:sz="4" w:space="0"/>
              <w:bottom w:val="single" w:color="auto" w:sz="8" w:space="0"/>
              <w:right w:val="doub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8</w:t>
            </w:r>
          </w:p>
        </w:tc>
        <w:tc>
          <w:tcPr>
            <w:tcW w:w="2138" w:type="dxa"/>
            <w:tcBorders>
              <w:top w:val="single" w:color="auto" w:sz="4" w:space="0"/>
              <w:left w:val="double" w:color="auto" w:sz="4" w:space="0"/>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sz w:val="16"/>
                <w:szCs w:val="16"/>
              </w:rPr>
            </w:pPr>
            <w:r>
              <w:rPr>
                <w:rFonts w:hint="eastAsia" w:ascii="Times New Roman" w:hAnsi="Times New Roman" w:eastAsia="宋体" w:cs="宋体"/>
                <w:i w:val="0"/>
                <w:color w:val="000000"/>
                <w:kern w:val="0"/>
                <w:sz w:val="16"/>
                <w:szCs w:val="16"/>
                <w:lang w:val="en-US" w:eastAsia="zh-CN" w:bidi="ar"/>
              </w:rPr>
              <w:t>合</w:t>
            </w:r>
            <w:r>
              <w:rPr>
                <w:rFonts w:hint="default" w:ascii="Times New Roman" w:hAnsi="Times New Roman" w:eastAsia="宋体" w:cs="Times New Roman"/>
                <w:i w:val="0"/>
                <w:color w:val="000000"/>
                <w:kern w:val="0"/>
                <w:sz w:val="16"/>
                <w:szCs w:val="16"/>
                <w:lang w:val="en-US" w:eastAsia="zh-CN" w:bidi="ar"/>
              </w:rPr>
              <w:t xml:space="preserve">  </w:t>
            </w:r>
            <w:r>
              <w:rPr>
                <w:rFonts w:hint="eastAsia" w:ascii="Times New Roman" w:hAnsi="Times New Roman" w:eastAsia="宋体" w:cs="宋体"/>
                <w:i w:val="0"/>
                <w:color w:val="000000"/>
                <w:kern w:val="0"/>
                <w:sz w:val="16"/>
                <w:szCs w:val="16"/>
                <w:lang w:val="en-US" w:eastAsia="zh-CN" w:bidi="ar"/>
              </w:rPr>
              <w:t>计</w:t>
            </w:r>
          </w:p>
        </w:tc>
        <w:tc>
          <w:tcPr>
            <w:tcW w:w="2138" w:type="dxa"/>
            <w:tcBorders>
              <w:top w:val="single" w:color="auto" w:sz="4" w:space="0"/>
              <w:left w:val="single" w:color="auto" w:sz="4"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z w:val="16"/>
                <w:szCs w:val="16"/>
              </w:rPr>
            </w:pPr>
            <w:r>
              <w:rPr>
                <w:rFonts w:hint="default" w:ascii="Times New Roman" w:hAnsi="Times New Roman" w:eastAsia="宋体" w:cs="Times New Roman"/>
                <w:i w:val="0"/>
                <w:color w:val="000000"/>
                <w:kern w:val="0"/>
                <w:sz w:val="16"/>
                <w:szCs w:val="16"/>
                <w:lang w:val="en-US" w:eastAsia="zh-CN" w:bidi="ar"/>
              </w:rPr>
              <w:t>288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467D9"/>
    <w:rsid w:val="407D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2023-04-14T09:04:00Z</dcterms:created>
  <dc:creator>Administrator</dc:creator>
  <cp:lastModifiedBy>李杨</cp:lastModifiedBy>
  <dcterms:modified xsi:type="dcterms:W3CDTF">2023-04-14T10:12:35Z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