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4"/>
        </w:rPr>
      </w:pPr>
      <w:r>
        <w:rPr>
          <w:rFonts w:hint="eastAsia"/>
          <w:b/>
          <w:sz w:val="24"/>
        </w:rPr>
        <w:t>附件6：</w:t>
      </w:r>
    </w:p>
    <w:p>
      <w:pPr>
        <w:jc w:val="center"/>
        <w:rPr>
          <w:rFonts w:hint="eastAsia"/>
          <w:b/>
          <w:sz w:val="28"/>
        </w:rPr>
      </w:pPr>
      <w:r>
        <w:rPr>
          <w:rFonts w:hint="eastAsia"/>
          <w:b/>
          <w:sz w:val="28"/>
        </w:rPr>
        <w:t>《增值税纳税申报表（适用于一般纳税人）》及其附表填表说明</w:t>
      </w:r>
    </w:p>
    <w:p>
      <w:pPr>
        <w:rPr>
          <w:rFonts w:hint="eastAsia"/>
          <w:sz w:val="28"/>
        </w:rPr>
      </w:pPr>
    </w:p>
    <w:p>
      <w:pPr>
        <w:ind w:firstLine="576"/>
        <w:jc w:val="center"/>
        <w:rPr>
          <w:rFonts w:hint="eastAsia"/>
          <w:b/>
          <w:sz w:val="28"/>
        </w:rPr>
      </w:pPr>
      <w:r>
        <w:rPr>
          <w:rFonts w:hint="eastAsia"/>
          <w:b/>
          <w:sz w:val="28"/>
        </w:rPr>
        <w:t>一、《增值税纳税申报表（适用于一般纳税人）》填表说明</w:t>
      </w:r>
    </w:p>
    <w:p>
      <w:pPr>
        <w:ind w:firstLine="567"/>
        <w:rPr>
          <w:sz w:val="28"/>
        </w:rPr>
      </w:pPr>
      <w:r>
        <w:rPr>
          <w:rFonts w:hint="eastAsia"/>
          <w:sz w:val="28"/>
        </w:rPr>
        <w:t>本申报表适用于增值税一般纳税人填报。增值税一般纳税人销售按简易办法缴纳增值税的货物，也使用本表。</w:t>
      </w:r>
    </w:p>
    <w:p>
      <w:pPr>
        <w:pStyle w:val="2"/>
        <w:numPr>
          <w:ilvl w:val="0"/>
          <w:numId w:val="1"/>
        </w:numPr>
        <w:ind w:left="0" w:firstLine="567"/>
        <w:rPr>
          <w:rFonts w:hint="eastAsia"/>
        </w:rPr>
      </w:pPr>
      <w:r>
        <w:rPr>
          <w:rFonts w:hint="eastAsia"/>
        </w:rPr>
        <w:t>本表“税款所属时间”是指纳税人申报的增值税应纳税额的所属时间，应填写具体的起止年、月、日。</w:t>
      </w:r>
    </w:p>
    <w:p>
      <w:pPr>
        <w:pStyle w:val="2"/>
        <w:numPr>
          <w:ilvl w:val="0"/>
          <w:numId w:val="1"/>
        </w:numPr>
        <w:ind w:left="0" w:firstLine="567"/>
        <w:rPr>
          <w:rFonts w:hint="eastAsia"/>
        </w:rPr>
      </w:pPr>
      <w:r>
        <w:rPr>
          <w:rFonts w:hint="eastAsia"/>
        </w:rPr>
        <w:t>本表“填表日期”指纳税人填写本表的具体日期。</w:t>
      </w:r>
    </w:p>
    <w:p>
      <w:pPr>
        <w:pStyle w:val="2"/>
        <w:numPr>
          <w:ilvl w:val="0"/>
          <w:numId w:val="1"/>
        </w:numPr>
        <w:ind w:left="0" w:firstLine="567"/>
        <w:rPr>
          <w:rFonts w:hint="eastAsia"/>
        </w:rPr>
      </w:pPr>
      <w:r>
        <w:rPr>
          <w:rFonts w:hint="eastAsia"/>
        </w:rPr>
        <w:t>本表“纳税人识别号”栏，填写税务机关为纳税人确定的识别号，即：税务登记证号码。</w:t>
      </w:r>
    </w:p>
    <w:p>
      <w:pPr>
        <w:pStyle w:val="2"/>
        <w:numPr>
          <w:ilvl w:val="0"/>
          <w:numId w:val="1"/>
        </w:numPr>
        <w:ind w:left="0" w:firstLine="567"/>
      </w:pPr>
      <w:r>
        <w:rPr>
          <w:rFonts w:hint="eastAsia"/>
        </w:rPr>
        <w:t>本表“所属行业”栏，按照国民经济行业分类与代码中的最细项（小类）进行填写（国民经济行业分类与代码附后）。</w:t>
      </w:r>
    </w:p>
    <w:p>
      <w:pPr>
        <w:pStyle w:val="2"/>
        <w:numPr>
          <w:ilvl w:val="0"/>
          <w:numId w:val="1"/>
        </w:numPr>
        <w:ind w:left="0" w:firstLine="567"/>
        <w:rPr>
          <w:rFonts w:hint="eastAsia"/>
        </w:rPr>
      </w:pPr>
      <w:r>
        <w:rPr>
          <w:rFonts w:hint="eastAsia"/>
        </w:rPr>
        <w:t>本表“纳税人名称”栏，填写纳税人单位名称全称，不得填写简称。</w:t>
      </w:r>
    </w:p>
    <w:p>
      <w:pPr>
        <w:pStyle w:val="2"/>
        <w:numPr>
          <w:ilvl w:val="0"/>
          <w:numId w:val="1"/>
        </w:numPr>
        <w:ind w:left="0" w:firstLine="567"/>
      </w:pPr>
      <w:r>
        <w:rPr>
          <w:rFonts w:hint="eastAsia"/>
        </w:rPr>
        <w:t>本表“法定代表人姓名”栏，填写纳税人法定代表人的姓名。</w:t>
      </w:r>
    </w:p>
    <w:p>
      <w:pPr>
        <w:pStyle w:val="2"/>
        <w:numPr>
          <w:ilvl w:val="0"/>
          <w:numId w:val="1"/>
        </w:numPr>
        <w:ind w:left="0" w:firstLine="567"/>
        <w:rPr>
          <w:rFonts w:hint="eastAsia"/>
        </w:rPr>
      </w:pPr>
      <w:r>
        <w:rPr>
          <w:rFonts w:hint="eastAsia"/>
        </w:rPr>
        <w:t>本表“注册地址”栏，填写纳税人税务登记证所注明的详细地址。</w:t>
      </w:r>
    </w:p>
    <w:p>
      <w:pPr>
        <w:pStyle w:val="2"/>
        <w:numPr>
          <w:ilvl w:val="0"/>
          <w:numId w:val="1"/>
        </w:numPr>
        <w:ind w:left="0" w:firstLine="567"/>
        <w:rPr>
          <w:rFonts w:hint="eastAsia"/>
        </w:rPr>
      </w:pPr>
      <w:r>
        <w:rPr>
          <w:rFonts w:hint="eastAsia"/>
        </w:rPr>
        <w:t>本表“营业地址”栏，填写纳税人营业地的详细地址。</w:t>
      </w:r>
    </w:p>
    <w:p>
      <w:pPr>
        <w:pStyle w:val="2"/>
        <w:numPr>
          <w:ilvl w:val="0"/>
          <w:numId w:val="1"/>
        </w:numPr>
        <w:ind w:left="0" w:firstLine="567"/>
        <w:rPr>
          <w:rFonts w:hint="eastAsia"/>
        </w:rPr>
      </w:pPr>
      <w:r>
        <w:rPr>
          <w:rFonts w:hint="eastAsia"/>
        </w:rPr>
        <w:t>本表“开户银行及帐号”栏，填写纳税人开户银行的名称和纳税人在该银行的结算帐户号码。</w:t>
      </w:r>
    </w:p>
    <w:p>
      <w:pPr>
        <w:pStyle w:val="2"/>
        <w:numPr>
          <w:ilvl w:val="0"/>
          <w:numId w:val="1"/>
        </w:numPr>
        <w:ind w:left="0" w:firstLine="567"/>
        <w:rPr>
          <w:rFonts w:hint="eastAsia"/>
        </w:rPr>
      </w:pPr>
      <w:r>
        <w:rPr>
          <w:rFonts w:hint="eastAsia"/>
        </w:rPr>
        <w:t>本表“企业登记注册类型”栏，按税务登记证填写。</w:t>
      </w:r>
    </w:p>
    <w:p>
      <w:pPr>
        <w:pStyle w:val="2"/>
        <w:numPr>
          <w:ilvl w:val="0"/>
          <w:numId w:val="1"/>
        </w:numPr>
        <w:ind w:left="0" w:firstLine="567"/>
        <w:rPr>
          <w:rFonts w:hint="eastAsia"/>
        </w:rPr>
      </w:pPr>
      <w:r>
        <w:rPr>
          <w:rFonts w:hint="eastAsia"/>
        </w:rPr>
        <w:t>本表“电话号码”栏，填写纳税人注册地和经营地的电话号码。</w:t>
      </w:r>
    </w:p>
    <w:p>
      <w:pPr>
        <w:pStyle w:val="2"/>
        <w:numPr>
          <w:ilvl w:val="0"/>
          <w:numId w:val="1"/>
        </w:numPr>
        <w:ind w:left="0" w:firstLine="567"/>
        <w:rPr>
          <w:rFonts w:hint="eastAsia"/>
        </w:rPr>
      </w:pPr>
      <w:r>
        <w:rPr>
          <w:rFonts w:hint="eastAsia"/>
        </w:rPr>
        <w:t>表中“一般货物及劳务”是指享受即征即退的货物及劳务以外的其他货物及劳务。</w:t>
      </w:r>
    </w:p>
    <w:p>
      <w:pPr>
        <w:pStyle w:val="2"/>
        <w:numPr>
          <w:ilvl w:val="0"/>
          <w:numId w:val="1"/>
        </w:numPr>
        <w:ind w:left="0" w:firstLine="567"/>
        <w:rPr>
          <w:rFonts w:hint="eastAsia"/>
        </w:rPr>
      </w:pPr>
      <w:r>
        <w:rPr>
          <w:rFonts w:hint="eastAsia"/>
        </w:rPr>
        <w:t>表中“即征即退货物及劳务” 是指纳税人按照税法规定享受即征即退税收优惠政策的货物及劳务。</w:t>
      </w:r>
    </w:p>
    <w:p>
      <w:pPr>
        <w:pStyle w:val="2"/>
        <w:numPr>
          <w:ilvl w:val="0"/>
          <w:numId w:val="1"/>
        </w:numPr>
        <w:ind w:left="0" w:firstLine="567"/>
        <w:rPr>
          <w:rFonts w:hint="eastAsia"/>
        </w:rPr>
      </w:pPr>
      <w:r>
        <w:rPr>
          <w:rFonts w:hint="eastAsia"/>
        </w:rPr>
        <w:t>本表第1项“（一）按适用税率征税货物及劳务销售额”栏数据，填写纳税人本期按适用税率缴纳增值税的应税货物和应税劳务的销售额（销货退回的销售额用负数表示）。包括在财务上不作销售但按税法规定应缴纳增值税的视同销售货物和价外费用销售额，外贸企业作价销售进料加工复出口的货物，税务、财政、审计部门检查按适用税率计算调整的销售额。 “一般货物及劳务”的“本月数”</w:t>
      </w:r>
      <w:r>
        <w:t xml:space="preserve"> </w:t>
      </w:r>
      <w:r>
        <w:rPr>
          <w:rFonts w:hint="eastAsia"/>
        </w:rPr>
        <w:t>栏数据与“即征即退货物及劳务”的“本月数”</w:t>
      </w:r>
      <w:r>
        <w:t xml:space="preserve"> </w:t>
      </w:r>
      <w:r>
        <w:rPr>
          <w:rFonts w:hint="eastAsia"/>
        </w:rPr>
        <w:t>栏数据之和，应等于《附表一》第</w:t>
      </w:r>
      <w:r>
        <w:t>7</w:t>
      </w:r>
      <w:r>
        <w:rPr>
          <w:rFonts w:hint="eastAsia"/>
        </w:rPr>
        <w:t>栏的“小计”中的“销售额”数。“本年累计”栏数据，应为年度内各月数之和。</w:t>
      </w:r>
    </w:p>
    <w:p>
      <w:pPr>
        <w:pStyle w:val="2"/>
        <w:numPr>
          <w:ilvl w:val="0"/>
          <w:numId w:val="1"/>
        </w:numPr>
        <w:ind w:left="0" w:firstLine="567"/>
        <w:rPr>
          <w:rFonts w:hint="eastAsia"/>
        </w:rPr>
      </w:pPr>
      <w:r>
        <w:rPr>
          <w:rFonts w:hint="eastAsia"/>
        </w:rPr>
        <w:t>本表第2项“应税货物销售额”栏数据，填写纳税人本期按适用税率缴纳增值税的应税货物的销售额（销货退回的销售额用负数表示）。包括在财务上不作销售但按税法规定应缴纳增值税的视同销售货物和价外费用销售额，以及外贸企业作价销售进料加工复出口的货物。“一般货物及劳务”的“本月数”</w:t>
      </w:r>
      <w:r>
        <w:t xml:space="preserve"> </w:t>
      </w:r>
      <w:r>
        <w:rPr>
          <w:rFonts w:hint="eastAsia"/>
        </w:rPr>
        <w:t>栏数据与“即征即退货物及劳务”的“本月数”</w:t>
      </w:r>
      <w:r>
        <w:t xml:space="preserve"> </w:t>
      </w:r>
      <w:r>
        <w:rPr>
          <w:rFonts w:hint="eastAsia"/>
        </w:rPr>
        <w:t>栏数据之和，应等于《附表一》第</w:t>
      </w:r>
      <w:r>
        <w:t>5</w:t>
      </w:r>
      <w:r>
        <w:rPr>
          <w:rFonts w:hint="eastAsia"/>
        </w:rPr>
        <w:t>栏的“应税货物”中17%税率“销售额”与13%税率“销售额”的合计数。“本年累计”栏数据，应为年度内各月数之和。</w:t>
      </w:r>
    </w:p>
    <w:p>
      <w:pPr>
        <w:pStyle w:val="2"/>
        <w:numPr>
          <w:ilvl w:val="0"/>
          <w:numId w:val="1"/>
        </w:numPr>
        <w:ind w:left="0" w:firstLine="567"/>
        <w:rPr>
          <w:rFonts w:hint="eastAsia"/>
        </w:rPr>
      </w:pPr>
      <w:r>
        <w:rPr>
          <w:rFonts w:hint="eastAsia"/>
        </w:rPr>
        <w:t>本表第3项“应税劳务销售额”栏数据，填写纳税人本期按适用税率缴纳增值税的应税劳务的销售额。“一般货物及劳务”的“本月数”</w:t>
      </w:r>
      <w:r>
        <w:t xml:space="preserve"> </w:t>
      </w:r>
      <w:r>
        <w:rPr>
          <w:rFonts w:hint="eastAsia"/>
        </w:rPr>
        <w:t>栏数据与“即征即退货物及劳务”的“本月数”</w:t>
      </w:r>
      <w:r>
        <w:t xml:space="preserve"> </w:t>
      </w:r>
      <w:r>
        <w:rPr>
          <w:rFonts w:hint="eastAsia"/>
        </w:rPr>
        <w:t>栏数据之和，应等于《附表一》第</w:t>
      </w:r>
      <w:r>
        <w:t>5</w:t>
      </w:r>
      <w:r>
        <w:rPr>
          <w:rFonts w:hint="eastAsia"/>
        </w:rPr>
        <w:t>栏的“应税劳务”中的“销售额”数。“本年累计”栏数据，应为年度内各月数之和。</w:t>
      </w:r>
    </w:p>
    <w:p>
      <w:pPr>
        <w:pStyle w:val="2"/>
        <w:numPr>
          <w:ilvl w:val="0"/>
          <w:numId w:val="1"/>
        </w:numPr>
        <w:ind w:left="0" w:firstLine="567"/>
        <w:rPr>
          <w:rFonts w:hint="eastAsia"/>
        </w:rPr>
      </w:pPr>
      <w:r>
        <w:rPr>
          <w:rFonts w:hint="eastAsia"/>
        </w:rPr>
        <w:t>本表第4项“纳税检查调整的销售额”栏数据，填写纳税人本期因税务、财政、审计部门检查、并按适用税率计算调整的应税货物和应税劳务的销售额。但享受即征即退税收优惠政策的货物及劳务经税务稽查发现偷税的，不得填入“即征即退货物及劳务”部分，而应将本部分销售额在“一般货物及劳务”栏中反映。“一般货物及劳务”的“本月数”</w:t>
      </w:r>
      <w:r>
        <w:t xml:space="preserve"> </w:t>
      </w:r>
      <w:r>
        <w:rPr>
          <w:rFonts w:hint="eastAsia"/>
        </w:rPr>
        <w:t>栏数据与“即征即退货物及劳务”的“本月数”</w:t>
      </w:r>
      <w:r>
        <w:t xml:space="preserve"> </w:t>
      </w:r>
      <w:r>
        <w:rPr>
          <w:rFonts w:hint="eastAsia"/>
        </w:rPr>
        <w:t>栏数据之和，应等于《附表一》第</w:t>
      </w:r>
      <w:r>
        <w:t>6</w:t>
      </w:r>
      <w:r>
        <w:rPr>
          <w:rFonts w:hint="eastAsia"/>
        </w:rPr>
        <w:t>栏的“小计”中的“销售额”数。“本年累计”栏数据，应为年度内各月数之和。</w:t>
      </w:r>
    </w:p>
    <w:p>
      <w:pPr>
        <w:pStyle w:val="2"/>
        <w:numPr>
          <w:ilvl w:val="0"/>
          <w:numId w:val="1"/>
        </w:numPr>
        <w:ind w:left="0" w:firstLine="567"/>
        <w:jc w:val="left"/>
        <w:rPr>
          <w:rFonts w:hint="eastAsia"/>
        </w:rPr>
      </w:pPr>
      <w:r>
        <w:rPr>
          <w:rFonts w:hint="eastAsia"/>
        </w:rPr>
        <w:t>本表第5项“按简易征收办法征税货物的销售额”栏数据，填写纳税人本期按简易征收办法征收增值税货物的销售额（销货退回的销售额用负数表示）。包括税务、财政、审计部门检查、并按按简易征收办法计算调整的销售额。“一般货物及劳务”的“本月数”</w:t>
      </w:r>
      <w:r>
        <w:t xml:space="preserve"> </w:t>
      </w:r>
      <w:r>
        <w:rPr>
          <w:rFonts w:hint="eastAsia"/>
        </w:rPr>
        <w:t>栏数据与“即征即退货物及劳务”的“本月数”</w:t>
      </w:r>
      <w:r>
        <w:t xml:space="preserve"> </w:t>
      </w:r>
      <w:r>
        <w:rPr>
          <w:rFonts w:hint="eastAsia"/>
        </w:rPr>
        <w:t>栏数据之和，应等于《附表一》第</w:t>
      </w:r>
      <w:r>
        <w:t>14</w:t>
      </w:r>
      <w:r>
        <w:rPr>
          <w:rFonts w:hint="eastAsia"/>
        </w:rPr>
        <w:t>栏的“小计”中的“销售额”数。“本年累计”栏数据，应为年度内各月数之和。</w:t>
      </w:r>
    </w:p>
    <w:p>
      <w:pPr>
        <w:pStyle w:val="2"/>
        <w:numPr>
          <w:ilvl w:val="0"/>
          <w:numId w:val="1"/>
        </w:numPr>
        <w:ind w:left="0" w:firstLine="567"/>
        <w:rPr>
          <w:rFonts w:hint="eastAsia"/>
        </w:rPr>
      </w:pPr>
      <w:r>
        <w:rPr>
          <w:rFonts w:hint="eastAsia"/>
        </w:rPr>
        <w:t>本表第6项“其中：纳税检查调整的销售额”栏数据，填写纳税人本期因税务、财政、审计部门检查、并按简易征收办法计算调整的销售额，但享受即征即退税收优惠政策的货物及劳务经税务稽查发现偷税的，不得填入“即征即退货物及劳务”部分，而应将本部分销售额在“一般货物及劳务”栏中反映。“一般货物及劳务”的“本月数”</w:t>
      </w:r>
      <w:r>
        <w:t xml:space="preserve"> </w:t>
      </w:r>
      <w:r>
        <w:rPr>
          <w:rFonts w:hint="eastAsia"/>
        </w:rPr>
        <w:t>栏数据与“即征即退货物及劳务”的“本月数”</w:t>
      </w:r>
      <w:r>
        <w:t xml:space="preserve"> </w:t>
      </w:r>
      <w:r>
        <w:rPr>
          <w:rFonts w:hint="eastAsia"/>
        </w:rPr>
        <w:t>栏数据之和，应等于《附表一》第</w:t>
      </w:r>
      <w:r>
        <w:t>13</w:t>
      </w:r>
      <w:r>
        <w:rPr>
          <w:rFonts w:hint="eastAsia"/>
        </w:rPr>
        <w:t>栏的“小计”中的“销售额”数。“本年累计”栏数据，应为年度内各月数之和。</w:t>
      </w:r>
    </w:p>
    <w:p>
      <w:pPr>
        <w:pStyle w:val="2"/>
        <w:numPr>
          <w:ilvl w:val="0"/>
          <w:numId w:val="1"/>
        </w:numPr>
        <w:ind w:left="0" w:firstLine="567"/>
      </w:pPr>
      <w:r>
        <w:rPr>
          <w:rFonts w:hint="eastAsia"/>
        </w:rPr>
        <w:t>本表第7项“免、抵、退办法出口货物销售额”栏数据，填写纳税人本期执行免、抵、退办法出口货物的销售额（销货退回的销售额用负数表示）。“本年累计”栏数据，应为年度内各月数之和。</w:t>
      </w:r>
    </w:p>
    <w:p>
      <w:pPr>
        <w:pStyle w:val="2"/>
        <w:numPr>
          <w:ilvl w:val="0"/>
          <w:numId w:val="1"/>
        </w:numPr>
        <w:ind w:left="0" w:firstLine="567"/>
        <w:rPr>
          <w:rFonts w:hint="eastAsia"/>
        </w:rPr>
      </w:pPr>
      <w:r>
        <w:rPr>
          <w:rFonts w:hint="eastAsia"/>
        </w:rPr>
        <w:t>本表第8项“免税货物及劳务销售额” 栏数据，填写纳税人本期按照税法规定直接免征增值税的货物及劳务的销售额及适用零税率的货物及劳务的销售额（销货退回的销售额用负数表示），但不包括适用免、抵、退办法出口货物的销售额。“一般货物及劳务”的“本月数”</w:t>
      </w:r>
      <w:r>
        <w:t xml:space="preserve"> </w:t>
      </w:r>
      <w:r>
        <w:rPr>
          <w:rFonts w:hint="eastAsia"/>
        </w:rPr>
        <w:t>栏数据，应等于《附表一》第</w:t>
      </w:r>
      <w:r>
        <w:t>18</w:t>
      </w:r>
      <w:r>
        <w:rPr>
          <w:rFonts w:hint="eastAsia"/>
        </w:rPr>
        <w:t>栏的“小计”中的“销售额”数。“本年累计”栏数据，应为年度内各月数之和。</w:t>
      </w:r>
    </w:p>
    <w:p>
      <w:pPr>
        <w:pStyle w:val="2"/>
        <w:numPr>
          <w:ilvl w:val="0"/>
          <w:numId w:val="1"/>
        </w:numPr>
        <w:ind w:left="0" w:firstLine="567"/>
        <w:rPr>
          <w:rFonts w:hint="eastAsia"/>
        </w:rPr>
      </w:pPr>
      <w:r>
        <w:rPr>
          <w:rFonts w:hint="eastAsia"/>
        </w:rPr>
        <w:t>本表第9项“免税货物销售额” 栏数据，填写纳税人本期按照税法规定直接免征增值税货物的销售额及适用零税率货物的销售额（销货退回的销售额用负数表示），但不包括适用免、抵、退办法出口货物的销售额。“一般货物及劳务”的“本月数”</w:t>
      </w:r>
      <w:r>
        <w:t xml:space="preserve"> </w:t>
      </w:r>
      <w:r>
        <w:rPr>
          <w:rFonts w:hint="eastAsia"/>
        </w:rPr>
        <w:t>栏数据，应等于《附表一》第</w:t>
      </w:r>
      <w:r>
        <w:t>18</w:t>
      </w:r>
      <w:r>
        <w:rPr>
          <w:rFonts w:hint="eastAsia"/>
        </w:rPr>
        <w:t>栏的“免税货物”中的“销售额”数。“本年累计”栏数据，应为年度内各月数之和。</w:t>
      </w:r>
    </w:p>
    <w:p>
      <w:pPr>
        <w:pStyle w:val="2"/>
        <w:numPr>
          <w:ilvl w:val="0"/>
          <w:numId w:val="1"/>
        </w:numPr>
        <w:ind w:left="0" w:firstLine="567"/>
        <w:rPr>
          <w:rFonts w:hint="eastAsia"/>
        </w:rPr>
      </w:pPr>
      <w:r>
        <w:rPr>
          <w:rFonts w:hint="eastAsia"/>
        </w:rPr>
        <w:t>本表第10项“免税劳务销售额” 栏数据，填写纳税人本期按照税法规定直接免征增值税劳务的销售额及适用零税率劳务的销售额（销货退回的销售额用负数表示）。“一般货物及劳务”的“本月数”</w:t>
      </w:r>
      <w:r>
        <w:t xml:space="preserve"> </w:t>
      </w:r>
      <w:r>
        <w:rPr>
          <w:rFonts w:hint="eastAsia"/>
        </w:rPr>
        <w:t>栏数据，应等于《附表一》第</w:t>
      </w:r>
      <w:r>
        <w:t>18</w:t>
      </w:r>
      <w:r>
        <w:rPr>
          <w:rFonts w:hint="eastAsia"/>
        </w:rPr>
        <w:t>栏的“免税劳务”中的“销售额”数。“本年累计”栏数据，应为年度内各月数之和。</w:t>
      </w:r>
    </w:p>
    <w:p>
      <w:pPr>
        <w:pStyle w:val="2"/>
        <w:numPr>
          <w:ilvl w:val="0"/>
          <w:numId w:val="1"/>
        </w:numPr>
        <w:ind w:left="0" w:firstLine="567"/>
        <w:rPr>
          <w:rFonts w:hint="eastAsia"/>
        </w:rPr>
      </w:pPr>
      <w:r>
        <w:rPr>
          <w:rFonts w:hint="eastAsia"/>
        </w:rPr>
        <w:t>本表第11项“销项税额”栏数据，填写纳税人本期按适用税率计征的销项税额。该数据应与“应交税金—应交增值税”明细科目贷方“销项税额”专栏本期发生数一致。“一般货物及劳务”的“本月数”</w:t>
      </w:r>
      <w:r>
        <w:t xml:space="preserve"> </w:t>
      </w:r>
      <w:r>
        <w:rPr>
          <w:rFonts w:hint="eastAsia"/>
        </w:rPr>
        <w:t>栏数据与“即征即退货物及劳务”的“本月数”</w:t>
      </w:r>
      <w:r>
        <w:t xml:space="preserve"> </w:t>
      </w:r>
      <w:r>
        <w:rPr>
          <w:rFonts w:hint="eastAsia"/>
        </w:rPr>
        <w:t>栏数据之和，应等于《附表一》第</w:t>
      </w:r>
      <w:r>
        <w:t>7</w:t>
      </w:r>
      <w:r>
        <w:rPr>
          <w:rFonts w:hint="eastAsia"/>
        </w:rPr>
        <w:t>栏的“小计”中的“销项税额”数。“本年累计”栏数据，应为年度内各月数之和。</w:t>
      </w:r>
    </w:p>
    <w:p>
      <w:pPr>
        <w:pStyle w:val="2"/>
        <w:numPr>
          <w:ilvl w:val="0"/>
          <w:numId w:val="1"/>
        </w:numPr>
        <w:ind w:left="0" w:firstLine="567"/>
        <w:rPr>
          <w:rFonts w:hint="eastAsia"/>
        </w:rPr>
      </w:pPr>
      <w:r>
        <w:rPr>
          <w:rFonts w:hint="eastAsia"/>
        </w:rPr>
        <w:t>本表第12项“进项税额”栏数据，填写纳税人本期申报抵扣的进项税额。该数据应与“应交税金 — 应交增值税”明细科目借方“进项税额”专栏本期发生数一致。“一般货物及劳务”的“本月数”</w:t>
      </w:r>
      <w:r>
        <w:t xml:space="preserve"> </w:t>
      </w:r>
      <w:r>
        <w:rPr>
          <w:rFonts w:hint="eastAsia"/>
        </w:rPr>
        <w:t>栏数据与“即征即退货物及劳务”的“本月数”</w:t>
      </w:r>
      <w:r>
        <w:t xml:space="preserve"> </w:t>
      </w:r>
      <w:r>
        <w:rPr>
          <w:rFonts w:hint="eastAsia"/>
        </w:rPr>
        <w:t>栏数据之和，应等于《附表二》第</w:t>
      </w:r>
      <w:r>
        <w:t>12</w:t>
      </w:r>
      <w:r>
        <w:rPr>
          <w:rFonts w:hint="eastAsia"/>
        </w:rPr>
        <w:t>栏中的“税额”数。“本年累计”栏数据，应为年度内各月数之和。</w:t>
      </w:r>
    </w:p>
    <w:p>
      <w:pPr>
        <w:numPr>
          <w:ilvl w:val="0"/>
          <w:numId w:val="1"/>
        </w:numPr>
        <w:ind w:left="0" w:firstLine="567"/>
        <w:rPr>
          <w:rFonts w:hint="eastAsia"/>
          <w:sz w:val="28"/>
        </w:rPr>
      </w:pPr>
      <w:r>
        <w:rPr>
          <w:rFonts w:hint="eastAsia"/>
          <w:sz w:val="28"/>
        </w:rPr>
        <w:t>本表第13项“上期留抵税额”栏数据，为纳税人前一申报期的“期末留抵税额”数，该数据应与“应交税金——应交增值税”明细科目借方月初余额一致。</w:t>
      </w:r>
    </w:p>
    <w:p>
      <w:pPr>
        <w:pStyle w:val="2"/>
        <w:numPr>
          <w:ilvl w:val="0"/>
          <w:numId w:val="1"/>
        </w:numPr>
        <w:ind w:left="0" w:firstLine="567"/>
        <w:rPr>
          <w:rFonts w:hint="eastAsia"/>
        </w:rPr>
      </w:pPr>
      <w:r>
        <w:rPr>
          <w:rFonts w:hint="eastAsia"/>
        </w:rPr>
        <w:t>本表第14项“进项税额转出”栏数据，填写纳税人已经抵扣但按税法规定应作进项税转出的进项税额总数，但不包括销售折扣、折让，销货退回等应负数冲减当期进项税额的数额。该数据应与“应交税金—应交增值税”明细科目贷方“进项税额转出”专栏本期发生数一致。“一般货物及劳务”的“本月数”</w:t>
      </w:r>
      <w:r>
        <w:t xml:space="preserve"> </w:t>
      </w:r>
      <w:r>
        <w:rPr>
          <w:rFonts w:hint="eastAsia"/>
        </w:rPr>
        <w:t>栏数据与“即征即退货物及劳务”的“本月数”</w:t>
      </w:r>
      <w:r>
        <w:t xml:space="preserve"> </w:t>
      </w:r>
      <w:r>
        <w:rPr>
          <w:rFonts w:hint="eastAsia"/>
        </w:rPr>
        <w:t>栏数据之和，应等于《附表二》第</w:t>
      </w:r>
      <w:r>
        <w:t>1</w:t>
      </w:r>
      <w:r>
        <w:rPr>
          <w:rFonts w:hint="eastAsia"/>
        </w:rPr>
        <w:t>3栏中的“税额”数。“本年累计”栏数据，应为年度内各月数之和。</w:t>
      </w:r>
    </w:p>
    <w:p>
      <w:pPr>
        <w:numPr>
          <w:ilvl w:val="0"/>
          <w:numId w:val="1"/>
        </w:numPr>
        <w:ind w:left="0" w:firstLine="567"/>
        <w:rPr>
          <w:rFonts w:hint="eastAsia"/>
          <w:sz w:val="28"/>
        </w:rPr>
      </w:pPr>
      <w:r>
        <w:rPr>
          <w:rFonts w:hint="eastAsia"/>
          <w:sz w:val="28"/>
        </w:rPr>
        <w:t>本表第15项“免、抵、退货物应退税额”栏数据，填写退税机关按照出口货物免、抵、退办法审批的应退税额。“本年累计”栏数据，应为年度内各月数之和。</w:t>
      </w:r>
    </w:p>
    <w:p>
      <w:pPr>
        <w:numPr>
          <w:ilvl w:val="0"/>
          <w:numId w:val="1"/>
        </w:numPr>
        <w:ind w:left="0" w:firstLine="567"/>
        <w:rPr>
          <w:rFonts w:hint="eastAsia"/>
          <w:sz w:val="28"/>
        </w:rPr>
      </w:pPr>
      <w:r>
        <w:rPr>
          <w:rFonts w:hint="eastAsia"/>
          <w:sz w:val="28"/>
        </w:rPr>
        <w:t>本表第16项“按适用税率计算的纳税检查应补缴税额”栏数据，填写税务、财政、审计部门检查按适用税率计算的纳税检查应补缴税额。“本年累计”栏数据，应为年度内各月数之和。</w:t>
      </w:r>
    </w:p>
    <w:p>
      <w:pPr>
        <w:numPr>
          <w:ilvl w:val="0"/>
          <w:numId w:val="1"/>
        </w:numPr>
        <w:ind w:left="0" w:firstLine="567"/>
        <w:rPr>
          <w:rFonts w:hint="eastAsia"/>
          <w:sz w:val="28"/>
        </w:rPr>
      </w:pPr>
      <w:r>
        <w:rPr>
          <w:rFonts w:hint="eastAsia"/>
          <w:sz w:val="28"/>
        </w:rPr>
        <w:t>本表第17项“应抵扣税额合计”栏数据，填写纳税人本期应抵扣进项税额的合计数。</w:t>
      </w:r>
    </w:p>
    <w:p>
      <w:pPr>
        <w:numPr>
          <w:ilvl w:val="0"/>
          <w:numId w:val="1"/>
        </w:numPr>
        <w:ind w:left="0" w:firstLine="567"/>
        <w:rPr>
          <w:rFonts w:hint="eastAsia"/>
          <w:sz w:val="28"/>
        </w:rPr>
      </w:pPr>
      <w:r>
        <w:rPr>
          <w:rFonts w:hint="eastAsia"/>
          <w:sz w:val="28"/>
        </w:rPr>
        <w:t>本表第18项“实际抵扣税额”栏数据，填写纳税人本期实际抵扣的进项税额。“本年累计”栏数据，应为年度内各月数之和。</w:t>
      </w:r>
    </w:p>
    <w:p>
      <w:pPr>
        <w:numPr>
          <w:ilvl w:val="0"/>
          <w:numId w:val="1"/>
        </w:numPr>
        <w:ind w:left="0" w:firstLine="567"/>
        <w:rPr>
          <w:rFonts w:hint="eastAsia"/>
          <w:sz w:val="28"/>
        </w:rPr>
      </w:pPr>
      <w:r>
        <w:rPr>
          <w:rFonts w:hint="eastAsia"/>
          <w:sz w:val="28"/>
        </w:rPr>
        <w:t>本表第19项“按适用税率计算的应纳税额”栏数据，填写纳税人本期按适用税率计算并应缴纳的增值税额。“本年累计”栏数据，应为年度内各月数之和。</w:t>
      </w:r>
    </w:p>
    <w:p>
      <w:pPr>
        <w:numPr>
          <w:ilvl w:val="0"/>
          <w:numId w:val="1"/>
        </w:numPr>
        <w:ind w:left="0" w:firstLine="567"/>
        <w:rPr>
          <w:rFonts w:hint="eastAsia"/>
          <w:sz w:val="28"/>
        </w:rPr>
      </w:pPr>
      <w:r>
        <w:rPr>
          <w:rFonts w:hint="eastAsia"/>
          <w:sz w:val="28"/>
        </w:rPr>
        <w:t>本表第20项“期末留抵税额”栏数据，为纳税人在本期销项税额中尚未抵扣完，留待下期继续抵扣的进项税额。该数据应与“应交税金——应交增值税”明细科目借方月末余额一致。</w:t>
      </w:r>
    </w:p>
    <w:p>
      <w:pPr>
        <w:numPr>
          <w:ilvl w:val="0"/>
          <w:numId w:val="1"/>
        </w:numPr>
        <w:ind w:left="0" w:firstLine="567"/>
        <w:rPr>
          <w:rFonts w:hint="eastAsia"/>
          <w:sz w:val="28"/>
        </w:rPr>
      </w:pPr>
      <w:r>
        <w:rPr>
          <w:rFonts w:hint="eastAsia"/>
          <w:sz w:val="28"/>
        </w:rPr>
        <w:t>本表第21项“按简易征收办法计算的应纳税额”栏数据，填写纳税人本期按简易征收办法计算并应缴纳的增值税额，但不包括按简易征收办法计算的纳税检查应补缴税额。“一般货物及劳务”的“本月数”</w:t>
      </w:r>
      <w:r>
        <w:rPr>
          <w:sz w:val="28"/>
        </w:rPr>
        <w:t xml:space="preserve"> </w:t>
      </w:r>
      <w:r>
        <w:rPr>
          <w:rFonts w:hint="eastAsia"/>
          <w:sz w:val="28"/>
        </w:rPr>
        <w:t>栏数据与“即征即退货物及劳务”的“本月数”</w:t>
      </w:r>
      <w:r>
        <w:rPr>
          <w:sz w:val="28"/>
        </w:rPr>
        <w:t xml:space="preserve"> </w:t>
      </w:r>
      <w:r>
        <w:rPr>
          <w:rFonts w:hint="eastAsia"/>
          <w:sz w:val="28"/>
        </w:rPr>
        <w:t>栏数据之和，应等于《附表一》第</w:t>
      </w:r>
      <w:r>
        <w:rPr>
          <w:sz w:val="28"/>
        </w:rPr>
        <w:t>1</w:t>
      </w:r>
      <w:r>
        <w:rPr>
          <w:rFonts w:hint="eastAsia"/>
          <w:sz w:val="28"/>
        </w:rPr>
        <w:t>2栏的“小计”中的“应纳税额”数。“本年累计”栏数据，应为年度内各月数之和。</w:t>
      </w:r>
    </w:p>
    <w:p>
      <w:pPr>
        <w:numPr>
          <w:ilvl w:val="0"/>
          <w:numId w:val="1"/>
        </w:numPr>
        <w:ind w:left="0" w:firstLine="567"/>
        <w:rPr>
          <w:rFonts w:hint="eastAsia"/>
          <w:sz w:val="28"/>
        </w:rPr>
      </w:pPr>
      <w:r>
        <w:rPr>
          <w:rFonts w:hint="eastAsia"/>
          <w:sz w:val="28"/>
        </w:rPr>
        <w:t>本表第22项“按简易征收办法计算的纳税检查应补缴税额”栏数据，填写纳税人本期因税务、财政、审计部门检查并按简易征收办法计算的纳税检查应补缴税额。“一般货物及劳务”的“本月数”</w:t>
      </w:r>
      <w:r>
        <w:rPr>
          <w:sz w:val="28"/>
        </w:rPr>
        <w:t xml:space="preserve"> </w:t>
      </w:r>
      <w:r>
        <w:rPr>
          <w:rFonts w:hint="eastAsia"/>
          <w:sz w:val="28"/>
        </w:rPr>
        <w:t>栏数据与“即征即退货物及劳务”的“本月数”</w:t>
      </w:r>
      <w:r>
        <w:rPr>
          <w:sz w:val="28"/>
        </w:rPr>
        <w:t xml:space="preserve"> </w:t>
      </w:r>
      <w:r>
        <w:rPr>
          <w:rFonts w:hint="eastAsia"/>
          <w:sz w:val="28"/>
        </w:rPr>
        <w:t>栏数据之和，应等于《附表一》第</w:t>
      </w:r>
      <w:r>
        <w:rPr>
          <w:sz w:val="28"/>
        </w:rPr>
        <w:t>13</w:t>
      </w:r>
      <w:r>
        <w:rPr>
          <w:rFonts w:hint="eastAsia"/>
          <w:sz w:val="28"/>
        </w:rPr>
        <w:t>栏的“小计”中的“应纳税额”数。“本年累计”栏数据，应为年度内各月数之和。</w:t>
      </w:r>
    </w:p>
    <w:p>
      <w:pPr>
        <w:numPr>
          <w:ilvl w:val="0"/>
          <w:numId w:val="1"/>
        </w:numPr>
        <w:ind w:left="0" w:firstLine="567"/>
        <w:rPr>
          <w:rFonts w:hint="eastAsia"/>
          <w:sz w:val="28"/>
        </w:rPr>
      </w:pPr>
      <w:r>
        <w:rPr>
          <w:rFonts w:hint="eastAsia"/>
          <w:sz w:val="28"/>
        </w:rPr>
        <w:t>本表第23项“应纳税额减征额”栏数据，填写纳税人本期按照税法规定减征的增值税应纳税额。“本年累计”栏数据，应为年度内各月数之和。</w:t>
      </w:r>
    </w:p>
    <w:p>
      <w:pPr>
        <w:numPr>
          <w:ilvl w:val="0"/>
          <w:numId w:val="1"/>
        </w:numPr>
        <w:ind w:left="0" w:firstLine="567"/>
        <w:rPr>
          <w:rFonts w:hint="eastAsia"/>
          <w:sz w:val="28"/>
        </w:rPr>
      </w:pPr>
      <w:r>
        <w:rPr>
          <w:rFonts w:hint="eastAsia"/>
          <w:sz w:val="28"/>
        </w:rPr>
        <w:t>本表第24项“应纳税额合计”栏数据，填写纳税人本期应缴增值税的合计数。“本年累计”栏数据，应为年度内各月数之和。</w:t>
      </w:r>
    </w:p>
    <w:p>
      <w:pPr>
        <w:numPr>
          <w:ilvl w:val="0"/>
          <w:numId w:val="1"/>
        </w:numPr>
        <w:ind w:left="0" w:firstLine="567"/>
        <w:rPr>
          <w:rFonts w:hint="eastAsia"/>
          <w:sz w:val="28"/>
        </w:rPr>
      </w:pPr>
      <w:r>
        <w:rPr>
          <w:rFonts w:hint="eastAsia"/>
          <w:sz w:val="28"/>
        </w:rPr>
        <w:t>本表第25项“期初未缴税额（多缴为负数）”栏数据，为纳税人前一申报期的“期末未缴税额（多缴为负数）”。</w:t>
      </w:r>
    </w:p>
    <w:p>
      <w:pPr>
        <w:numPr>
          <w:ilvl w:val="0"/>
          <w:numId w:val="1"/>
        </w:numPr>
        <w:ind w:left="0" w:firstLine="567"/>
        <w:rPr>
          <w:rFonts w:hint="eastAsia"/>
          <w:sz w:val="28"/>
        </w:rPr>
      </w:pPr>
      <w:r>
        <w:rPr>
          <w:rFonts w:hint="eastAsia"/>
          <w:sz w:val="28"/>
        </w:rPr>
        <w:t>本表第26项“实收出口开具专用缴款书退税额”栏数据，填写纳税人本期实际收到税务机关退回的，因开具《出口货物税收专用缴款书》而多缴的增值税款。该数据应根据“应交税金——未交增值税”明细科目贷方本期发生额中“收到税务机关退回的多缴增值税款”数据填列。“本年累计”栏数据，为年度内各月数之和。</w:t>
      </w:r>
    </w:p>
    <w:p>
      <w:pPr>
        <w:numPr>
          <w:ilvl w:val="0"/>
          <w:numId w:val="1"/>
        </w:numPr>
        <w:ind w:left="0" w:firstLine="567"/>
        <w:rPr>
          <w:rFonts w:hint="eastAsia"/>
          <w:sz w:val="28"/>
        </w:rPr>
      </w:pPr>
      <w:r>
        <w:rPr>
          <w:rFonts w:hint="eastAsia"/>
          <w:sz w:val="28"/>
        </w:rPr>
        <w:t>本表第27项“本期已缴税额”栏数据，是指纳税人本期实际缴纳的增值税额，但不包括本期入库的查补税款。“本年累计”栏数据，为年度内各月数之和。</w:t>
      </w:r>
    </w:p>
    <w:p>
      <w:pPr>
        <w:numPr>
          <w:ilvl w:val="0"/>
          <w:numId w:val="1"/>
        </w:numPr>
        <w:ind w:left="0" w:firstLine="567"/>
        <w:rPr>
          <w:rFonts w:hint="eastAsia"/>
          <w:sz w:val="28"/>
        </w:rPr>
      </w:pPr>
      <w:r>
        <w:rPr>
          <w:rFonts w:hint="eastAsia"/>
          <w:sz w:val="28"/>
        </w:rPr>
        <w:t>本表第28项“①分次预缴税额” 栏数据，填写纳税人本期分次预缴的增值税额。</w:t>
      </w:r>
    </w:p>
    <w:p>
      <w:pPr>
        <w:numPr>
          <w:ilvl w:val="0"/>
          <w:numId w:val="1"/>
        </w:numPr>
        <w:ind w:left="0" w:firstLine="567"/>
        <w:rPr>
          <w:rFonts w:hint="eastAsia"/>
          <w:sz w:val="28"/>
        </w:rPr>
      </w:pPr>
      <w:r>
        <w:rPr>
          <w:rFonts w:hint="eastAsia"/>
          <w:sz w:val="28"/>
        </w:rPr>
        <w:t>本表第29项“②出口开具专用缴款书预缴税额”栏数据，填写纳税人本期销售出口货物而开具专用缴款书向主管税务机关预缴的增值税额。</w:t>
      </w:r>
    </w:p>
    <w:p>
      <w:pPr>
        <w:numPr>
          <w:ilvl w:val="0"/>
          <w:numId w:val="1"/>
        </w:numPr>
        <w:ind w:left="0" w:firstLine="567"/>
        <w:rPr>
          <w:rFonts w:hint="eastAsia"/>
          <w:sz w:val="28"/>
        </w:rPr>
      </w:pPr>
      <w:r>
        <w:rPr>
          <w:rFonts w:hint="eastAsia"/>
          <w:sz w:val="28"/>
        </w:rPr>
        <w:t>本表第30项“</w:t>
      </w:r>
      <w:r>
        <w:rPr>
          <w:rFonts w:hint="eastAsia" w:ascii="宋体" w:hAnsi="宋体"/>
          <w:sz w:val="28"/>
        </w:rPr>
        <w:t>③</w:t>
      </w:r>
      <w:r>
        <w:rPr>
          <w:rFonts w:hint="eastAsia" w:ascii="宋体"/>
          <w:color w:val="000000"/>
          <w:sz w:val="28"/>
        </w:rPr>
        <w:t>本期缴纳上期应纳税额”栏数据，填写纳税人本期上缴上期应缴未缴的增值税款，包括缴纳上期按简易征收办法计提的应缴未缴的增值税额。</w:t>
      </w:r>
      <w:r>
        <w:rPr>
          <w:rFonts w:hint="eastAsia"/>
          <w:sz w:val="28"/>
        </w:rPr>
        <w:t>“本年累计”栏数据，为年度内各月数之和。</w:t>
      </w:r>
    </w:p>
    <w:p>
      <w:pPr>
        <w:numPr>
          <w:ilvl w:val="0"/>
          <w:numId w:val="1"/>
        </w:numPr>
        <w:ind w:left="0" w:firstLine="567"/>
        <w:rPr>
          <w:rFonts w:hint="eastAsia"/>
          <w:sz w:val="28"/>
        </w:rPr>
      </w:pPr>
      <w:r>
        <w:rPr>
          <w:rFonts w:hint="eastAsia"/>
          <w:sz w:val="28"/>
        </w:rPr>
        <w:t>本表第31项“</w:t>
      </w:r>
      <w:r>
        <w:rPr>
          <w:rFonts w:hint="eastAsia" w:ascii="宋体" w:hAnsi="宋体"/>
          <w:sz w:val="28"/>
        </w:rPr>
        <w:t>④</w:t>
      </w:r>
      <w:r>
        <w:rPr>
          <w:rFonts w:hint="eastAsia"/>
          <w:sz w:val="28"/>
        </w:rPr>
        <w:t>本期缴纳欠缴税额”栏数据，填写纳税人本期实际缴纳的增值税欠税额，但不包括缴纳入库的查补增值税额。“本年累计”栏数据，为年度内各月数之和。</w:t>
      </w:r>
    </w:p>
    <w:p>
      <w:pPr>
        <w:numPr>
          <w:ilvl w:val="0"/>
          <w:numId w:val="1"/>
        </w:numPr>
        <w:ind w:left="0" w:firstLine="567"/>
        <w:rPr>
          <w:rFonts w:hint="eastAsia"/>
          <w:sz w:val="28"/>
        </w:rPr>
      </w:pPr>
      <w:r>
        <w:rPr>
          <w:rFonts w:hint="eastAsia"/>
          <w:sz w:val="28"/>
        </w:rPr>
        <w:t>本表第32项“期末未交税额</w:t>
      </w:r>
      <w:r>
        <w:rPr>
          <w:sz w:val="28"/>
        </w:rPr>
        <w:t>（</w:t>
      </w:r>
      <w:r>
        <w:rPr>
          <w:rFonts w:hint="eastAsia"/>
          <w:sz w:val="28"/>
        </w:rPr>
        <w:t>多缴为负数</w:t>
      </w:r>
      <w:r>
        <w:rPr>
          <w:sz w:val="28"/>
        </w:rPr>
        <w:t>）</w:t>
      </w:r>
      <w:r>
        <w:rPr>
          <w:rFonts w:hint="eastAsia"/>
          <w:sz w:val="28"/>
        </w:rPr>
        <w:t>”栏数据，为纳税人本期期末应缴未缴的增值税额，但不包括纳税检查应缴未缴的税额。“本年累计”栏与“本月数”栏数据相同。</w:t>
      </w:r>
    </w:p>
    <w:p>
      <w:pPr>
        <w:numPr>
          <w:ilvl w:val="0"/>
          <w:numId w:val="1"/>
        </w:numPr>
        <w:ind w:left="0" w:firstLine="567"/>
        <w:rPr>
          <w:rFonts w:hint="eastAsia"/>
          <w:sz w:val="28"/>
        </w:rPr>
      </w:pPr>
      <w:r>
        <w:rPr>
          <w:rFonts w:hint="eastAsia"/>
          <w:sz w:val="28"/>
        </w:rPr>
        <w:t>本表第33项“其中：欠缴税额（≥0）”栏数据，为纳税人按照税法规定已形成欠税的数额。</w:t>
      </w:r>
    </w:p>
    <w:p>
      <w:pPr>
        <w:numPr>
          <w:ilvl w:val="0"/>
          <w:numId w:val="1"/>
        </w:numPr>
        <w:ind w:left="0" w:firstLine="567"/>
        <w:rPr>
          <w:rFonts w:hint="eastAsia"/>
          <w:sz w:val="28"/>
        </w:rPr>
      </w:pPr>
      <w:r>
        <w:rPr>
          <w:rFonts w:hint="eastAsia"/>
          <w:sz w:val="28"/>
        </w:rPr>
        <w:t>本表第34项“本期应补（退）税额”栏数据，为纳税人本期应纳税额中应补缴或应退回的数额。</w:t>
      </w:r>
    </w:p>
    <w:p>
      <w:pPr>
        <w:numPr>
          <w:ilvl w:val="0"/>
          <w:numId w:val="1"/>
        </w:numPr>
        <w:ind w:left="0" w:firstLine="567"/>
        <w:rPr>
          <w:rFonts w:hint="eastAsia"/>
          <w:sz w:val="28"/>
        </w:rPr>
      </w:pPr>
      <w:r>
        <w:rPr>
          <w:rFonts w:hint="eastAsia"/>
          <w:sz w:val="28"/>
        </w:rPr>
        <w:t>本表第35项“即征即退实际退税额”栏数据，填写纳税人本期因符合增值税即征即退优惠政策规定，而实际收到的税务机关返还的增值税额。“本年累计”栏数据，为年度内各月数之和。</w:t>
      </w:r>
    </w:p>
    <w:p>
      <w:pPr>
        <w:numPr>
          <w:ilvl w:val="0"/>
          <w:numId w:val="1"/>
        </w:numPr>
        <w:ind w:left="0" w:firstLine="567"/>
        <w:rPr>
          <w:rFonts w:hint="eastAsia"/>
          <w:sz w:val="28"/>
        </w:rPr>
      </w:pPr>
      <w:r>
        <w:rPr>
          <w:rFonts w:hint="eastAsia"/>
          <w:sz w:val="28"/>
        </w:rPr>
        <w:t>本表第36项“期初未缴查补税额”栏数据，为纳税人前一申报期的“期末未缴查补税额”。该数据与本表第25项“期初未缴税额（多缴为负数）”栏数据之和，应与“应交税金——未交增值税”明细科目期初余额一致。“本年累计”栏数据应填写纳税人上年度末的“期末未缴查补税额”数。</w:t>
      </w:r>
    </w:p>
    <w:p>
      <w:pPr>
        <w:numPr>
          <w:ilvl w:val="0"/>
          <w:numId w:val="1"/>
        </w:numPr>
        <w:ind w:left="0" w:firstLine="567"/>
        <w:rPr>
          <w:rFonts w:hint="eastAsia"/>
          <w:sz w:val="28"/>
        </w:rPr>
      </w:pPr>
      <w:r>
        <w:rPr>
          <w:rFonts w:hint="eastAsia"/>
          <w:sz w:val="28"/>
        </w:rPr>
        <w:t>本表第37项“本期入库查补税额”栏数据，填写纳税人本期因税务、财政、审计部门检查而实际入库的增值税款，包括：1、按适用税率计算并实际缴纳的查补增值税款；2、按简易征收办法计算并实际缴纳的查补增值税款。“本年累计”栏数据，为年度内各月数之和。</w:t>
      </w:r>
    </w:p>
    <w:p>
      <w:pPr>
        <w:numPr>
          <w:ilvl w:val="0"/>
          <w:numId w:val="1"/>
        </w:numPr>
        <w:ind w:left="0" w:firstLine="567"/>
        <w:rPr>
          <w:rFonts w:hint="eastAsia"/>
          <w:sz w:val="28"/>
        </w:rPr>
      </w:pPr>
      <w:r>
        <w:rPr>
          <w:rFonts w:hint="eastAsia"/>
          <w:sz w:val="28"/>
        </w:rPr>
        <w:t>本表第38项“期末未缴查补税额”栏数据，为纳税人纳税检查本期期末应缴未缴的增值税额。该数据与本表第32项“期末未缴税额（多缴为负数）”栏数据之和，应与“应交税金——未交增值税”明细科目期初余额一致。“本年累计”栏与“本月数”栏数据相同。</w:t>
      </w:r>
    </w:p>
    <w:p>
      <w:pPr>
        <w:pStyle w:val="2"/>
        <w:ind w:firstLine="0"/>
        <w:rPr>
          <w:rFonts w:hint="eastAsia"/>
        </w:rPr>
      </w:pPr>
    </w:p>
    <w:p>
      <w:pPr>
        <w:jc w:val="center"/>
        <w:rPr>
          <w:rFonts w:hint="eastAsia"/>
          <w:sz w:val="28"/>
        </w:rPr>
      </w:pPr>
      <w:r>
        <w:rPr>
          <w:rFonts w:hint="eastAsia"/>
          <w:sz w:val="28"/>
        </w:rPr>
        <w:t>二、《增值税纳税申报表附列资料（表一）》填表说明</w:t>
      </w:r>
    </w:p>
    <w:p>
      <w:pPr>
        <w:pStyle w:val="2"/>
        <w:ind w:left="105" w:firstLine="0"/>
      </w:pPr>
    </w:p>
    <w:p>
      <w:pPr>
        <w:pStyle w:val="2"/>
        <w:numPr>
          <w:ilvl w:val="0"/>
          <w:numId w:val="2"/>
        </w:numPr>
        <w:tabs>
          <w:tab w:val="left" w:pos="0"/>
          <w:tab w:val="clear" w:pos="720"/>
        </w:tabs>
        <w:ind w:left="105" w:firstLine="525"/>
        <w:rPr>
          <w:rFonts w:hint="eastAsia"/>
        </w:rPr>
      </w:pPr>
      <w:r>
        <w:rPr>
          <w:rFonts w:hint="eastAsia"/>
        </w:rPr>
        <w:t>本表“税款所属时间”是指纳税人申报的增值税应纳税额的所属时间，应填写具体的起止年、月。</w:t>
      </w:r>
    </w:p>
    <w:p>
      <w:pPr>
        <w:pStyle w:val="2"/>
        <w:numPr>
          <w:ilvl w:val="0"/>
          <w:numId w:val="2"/>
        </w:numPr>
        <w:tabs>
          <w:tab w:val="left" w:pos="0"/>
          <w:tab w:val="clear" w:pos="720"/>
        </w:tabs>
        <w:ind w:left="105" w:firstLine="525"/>
        <w:rPr>
          <w:rFonts w:hint="eastAsia"/>
        </w:rPr>
      </w:pPr>
      <w:r>
        <w:rPr>
          <w:rFonts w:hint="eastAsia"/>
        </w:rPr>
        <w:t>本表“填表日期”指纳税人填写本表的具体日期。</w:t>
      </w:r>
    </w:p>
    <w:p>
      <w:pPr>
        <w:pStyle w:val="2"/>
        <w:numPr>
          <w:ilvl w:val="0"/>
          <w:numId w:val="2"/>
        </w:numPr>
        <w:tabs>
          <w:tab w:val="left" w:pos="0"/>
          <w:tab w:val="clear" w:pos="720"/>
        </w:tabs>
        <w:ind w:left="105" w:firstLine="525"/>
        <w:rPr>
          <w:rFonts w:hint="eastAsia"/>
        </w:rPr>
      </w:pPr>
      <w:r>
        <w:rPr>
          <w:rFonts w:hint="eastAsia"/>
        </w:rPr>
        <w:t>本表“纳税人名称”栏，应加盖纳税人单位公章。</w:t>
      </w:r>
    </w:p>
    <w:p>
      <w:pPr>
        <w:pStyle w:val="2"/>
        <w:numPr>
          <w:ilvl w:val="0"/>
          <w:numId w:val="2"/>
        </w:numPr>
        <w:tabs>
          <w:tab w:val="left" w:pos="0"/>
          <w:tab w:val="clear" w:pos="720"/>
        </w:tabs>
        <w:ind w:left="105" w:firstLine="525"/>
        <w:rPr>
          <w:rFonts w:hint="eastAsia"/>
        </w:rPr>
      </w:pPr>
      <w:r>
        <w:rPr>
          <w:rFonts w:hint="eastAsia"/>
        </w:rPr>
        <w:t>本表“一、按适用税率征收增值税货物及劳务的销售额和销项税额明细” 和“二、简易征收办法征收增值税货物的销售额和应纳税额明细”部分中“防伪税控系统开具的增值税专用发票”、“非防伪税控系统开具的增值税专用发票”、“开具普通发票”、 “未开具发票”各栏数据均应包括销货退回或折让、视同销售货物、价外费用的销售额和销项税额，但不包括免税货物及劳务的销售额，适用零税率货物及劳务的销售额和出口执行免、抵、退办法的销售额以及税务、财政、审计部门检查并调整的销售额、销项税额或应纳税额。</w:t>
      </w:r>
    </w:p>
    <w:p>
      <w:pPr>
        <w:pStyle w:val="2"/>
        <w:numPr>
          <w:ilvl w:val="0"/>
          <w:numId w:val="2"/>
        </w:numPr>
        <w:tabs>
          <w:tab w:val="left" w:pos="0"/>
          <w:tab w:val="clear" w:pos="720"/>
        </w:tabs>
        <w:ind w:left="105" w:firstLine="525"/>
        <w:rPr>
          <w:rFonts w:hint="eastAsia"/>
        </w:rPr>
      </w:pPr>
      <w:r>
        <w:rPr>
          <w:rFonts w:hint="eastAsia"/>
        </w:rPr>
        <w:t>本表“一、按适用税率征收增值税货物及劳务的销售额和销项税额明细”和“二、简易征收办法征收增值税货物的销售额和应纳税额明细”部分中“纳税检查调整”栏数据应填写纳税人本期因税务、财政、审计部门检查计算调整的应税货物、应税劳务的销售额、销项税额或应纳税额。</w:t>
      </w:r>
    </w:p>
    <w:p>
      <w:pPr>
        <w:pStyle w:val="2"/>
        <w:numPr>
          <w:ilvl w:val="0"/>
          <w:numId w:val="2"/>
        </w:numPr>
        <w:tabs>
          <w:tab w:val="left" w:pos="0"/>
          <w:tab w:val="clear" w:pos="720"/>
        </w:tabs>
        <w:ind w:left="105" w:firstLine="525"/>
        <w:rPr>
          <w:rFonts w:hint="eastAsia"/>
        </w:rPr>
      </w:pPr>
      <w:r>
        <w:rPr>
          <w:rFonts w:hint="eastAsia"/>
        </w:rPr>
        <w:t>本表“三、免征增值税货物及劳务销售额明细” 部分中“防伪税控系统开具的增值税专用发票”栏数据，填写本期因销售免税货物而使用防伪税控系统开具的增值税专用发票的份数、销售额和税额，包括国有粮食收储企业销售的免税粮食，政府储备食用植物油等。</w:t>
      </w:r>
    </w:p>
    <w:p>
      <w:pPr>
        <w:jc w:val="center"/>
        <w:rPr>
          <w:rFonts w:hint="eastAsia"/>
          <w:b/>
          <w:sz w:val="28"/>
        </w:rPr>
      </w:pPr>
    </w:p>
    <w:p>
      <w:pPr>
        <w:jc w:val="center"/>
        <w:rPr>
          <w:rFonts w:hint="eastAsia"/>
          <w:b/>
          <w:sz w:val="28"/>
        </w:rPr>
      </w:pPr>
      <w:r>
        <w:rPr>
          <w:rFonts w:hint="eastAsia"/>
          <w:b/>
          <w:sz w:val="28"/>
        </w:rPr>
        <w:t>三、《增值税纳税申报表附列资料（表二）》填表说明</w:t>
      </w:r>
    </w:p>
    <w:p>
      <w:pPr>
        <w:pStyle w:val="2"/>
        <w:ind w:left="105" w:firstLine="0"/>
        <w:rPr>
          <w:rFonts w:hint="eastAsia"/>
        </w:rPr>
      </w:pPr>
    </w:p>
    <w:p>
      <w:pPr>
        <w:pStyle w:val="2"/>
        <w:numPr>
          <w:ilvl w:val="0"/>
          <w:numId w:val="3"/>
        </w:numPr>
        <w:tabs>
          <w:tab w:val="left" w:pos="0"/>
          <w:tab w:val="clear" w:pos="720"/>
        </w:tabs>
        <w:ind w:left="105" w:firstLine="420"/>
        <w:rPr>
          <w:rFonts w:hint="eastAsia"/>
        </w:rPr>
      </w:pPr>
      <w:r>
        <w:rPr>
          <w:rFonts w:hint="eastAsia"/>
        </w:rPr>
        <w:t>本表“税款所属时间”是指纳税人申报的增值税应纳税额的所属时间，应填写具体的起止年、月。</w:t>
      </w:r>
    </w:p>
    <w:p>
      <w:pPr>
        <w:pStyle w:val="2"/>
        <w:numPr>
          <w:ilvl w:val="0"/>
          <w:numId w:val="3"/>
        </w:numPr>
        <w:tabs>
          <w:tab w:val="left" w:pos="0"/>
          <w:tab w:val="clear" w:pos="720"/>
        </w:tabs>
        <w:ind w:left="105" w:firstLine="420"/>
        <w:rPr>
          <w:rFonts w:hint="eastAsia"/>
        </w:rPr>
      </w:pPr>
      <w:r>
        <w:rPr>
          <w:rFonts w:hint="eastAsia"/>
        </w:rPr>
        <w:t>本表“填表日期”指纳税人填写本表的具体日期。</w:t>
      </w:r>
    </w:p>
    <w:p>
      <w:pPr>
        <w:pStyle w:val="2"/>
        <w:numPr>
          <w:ilvl w:val="0"/>
          <w:numId w:val="3"/>
        </w:numPr>
        <w:tabs>
          <w:tab w:val="left" w:pos="0"/>
          <w:tab w:val="clear" w:pos="720"/>
        </w:tabs>
        <w:ind w:left="105" w:firstLine="420"/>
        <w:rPr>
          <w:rFonts w:hint="eastAsia"/>
        </w:rPr>
      </w:pPr>
      <w:r>
        <w:rPr>
          <w:rFonts w:hint="eastAsia"/>
        </w:rPr>
        <w:t>本表“纳税人名称”栏，应加盖纳税人单位公章。</w:t>
      </w:r>
    </w:p>
    <w:p>
      <w:pPr>
        <w:pStyle w:val="2"/>
        <w:numPr>
          <w:ilvl w:val="0"/>
          <w:numId w:val="3"/>
        </w:numPr>
        <w:tabs>
          <w:tab w:val="left" w:pos="0"/>
          <w:tab w:val="clear" w:pos="720"/>
        </w:tabs>
        <w:ind w:left="105" w:firstLine="420"/>
        <w:rPr>
          <w:rFonts w:hint="eastAsia"/>
        </w:rPr>
      </w:pPr>
      <w:r>
        <w:rPr>
          <w:rFonts w:hint="eastAsia"/>
        </w:rPr>
        <w:t>本表“一、申报抵扣的进项税额”部分各栏数据，分别填写纳税人按税法规定符合抵扣条件，在本期申报抵扣的进项税额情况。</w:t>
      </w:r>
    </w:p>
    <w:p>
      <w:pPr>
        <w:pStyle w:val="2"/>
        <w:ind w:left="105" w:firstLine="560"/>
        <w:rPr>
          <w:rFonts w:hint="eastAsia"/>
        </w:rPr>
      </w:pPr>
      <w:r>
        <w:rPr>
          <w:rFonts w:hint="eastAsia"/>
        </w:rPr>
        <w:t>1、第1栏“（一）认证相符的防伪税控增值税专用发票”，填写本期申报抵扣的认证相符的防伪税控增值税专用发票情况，包括认证相符的红字防伪税控增值税专用发票，应等于第2栏“本期认证相符且本期申报抵扣”与第3栏“前期认证相符且本期申报抵扣”数据之和。</w:t>
      </w:r>
    </w:p>
    <w:p>
      <w:pPr>
        <w:pStyle w:val="2"/>
        <w:ind w:left="105" w:firstLine="560"/>
        <w:rPr>
          <w:rFonts w:hint="eastAsia"/>
        </w:rPr>
      </w:pPr>
      <w:r>
        <w:rPr>
          <w:rFonts w:hint="eastAsia"/>
        </w:rPr>
        <w:t>2、第2栏“本期认证相符且本期申报抵扣”，填写本期认证相符本期申报抵扣的防伪税控增值税专用发票情况，应与第</w:t>
      </w:r>
      <w:r>
        <w:t>35</w:t>
      </w:r>
      <w:r>
        <w:rPr>
          <w:rFonts w:hint="eastAsia"/>
        </w:rPr>
        <w:t>栏“本期认证相符的全部防伪税控增值税专用发票”减第24栏“本期已认证相符且本期未申报抵扣”后的数据相等。</w:t>
      </w:r>
    </w:p>
    <w:p>
      <w:pPr>
        <w:pStyle w:val="2"/>
        <w:ind w:left="105" w:firstLine="560"/>
        <w:rPr>
          <w:rFonts w:hint="eastAsia"/>
        </w:rPr>
      </w:pPr>
      <w:r>
        <w:rPr>
          <w:rFonts w:hint="eastAsia"/>
        </w:rPr>
        <w:t>3、第3栏“前期认证相符且本期申报抵扣”，填写以前期认证相符本期申报抵扣的防伪税控增值税专用发票情况，应与第23栏“期初已认证相符但未申报抵扣”加第24栏“本期已认证相符且本期未申报抵扣”减第25栏“期末已认证相符但未申报抵扣”后数据相等。</w:t>
      </w:r>
    </w:p>
    <w:p>
      <w:pPr>
        <w:pStyle w:val="2"/>
        <w:ind w:left="105" w:firstLine="560"/>
        <w:rPr>
          <w:rFonts w:hint="eastAsia"/>
        </w:rPr>
      </w:pPr>
      <w:r>
        <w:rPr>
          <w:rFonts w:hint="eastAsia"/>
        </w:rPr>
        <w:t>4、第4栏“非防伪税控增值税专用发票及其他扣税凭证”，填写本期申报抵扣的非防伪税控增值税专用发票及其他扣税凭证情况，应等于第5栏至第10栏之和。</w:t>
      </w:r>
    </w:p>
    <w:p>
      <w:pPr>
        <w:pStyle w:val="2"/>
        <w:ind w:left="105" w:firstLine="560"/>
        <w:rPr>
          <w:rFonts w:hint="eastAsia"/>
        </w:rPr>
      </w:pPr>
      <w:r>
        <w:rPr>
          <w:rFonts w:hint="eastAsia"/>
        </w:rPr>
        <w:t>5、第11栏“期初已征税款”，填写按照规定比例在本期申报抵扣的初期存货挂帐税额。</w:t>
      </w:r>
    </w:p>
    <w:p>
      <w:pPr>
        <w:pStyle w:val="2"/>
        <w:ind w:left="105" w:firstLine="560"/>
        <w:rPr>
          <w:rFonts w:hint="eastAsia"/>
        </w:rPr>
      </w:pPr>
      <w:r>
        <w:rPr>
          <w:rFonts w:hint="eastAsia"/>
        </w:rPr>
        <w:t>6、第12栏“当期申报抵扣进项税额合计”应等于第1栏、第4栏、第11栏之和。</w:t>
      </w:r>
    </w:p>
    <w:p>
      <w:pPr>
        <w:pStyle w:val="2"/>
        <w:numPr>
          <w:ilvl w:val="0"/>
          <w:numId w:val="3"/>
        </w:numPr>
        <w:tabs>
          <w:tab w:val="left" w:pos="0"/>
          <w:tab w:val="clear" w:pos="720"/>
        </w:tabs>
        <w:ind w:left="105" w:firstLine="420"/>
        <w:rPr>
          <w:rFonts w:hint="eastAsia"/>
        </w:rPr>
      </w:pPr>
      <w:r>
        <w:rPr>
          <w:rFonts w:hint="eastAsia"/>
        </w:rPr>
        <w:t>本表“二、进项税额转出额”部分填写纳税人已经抵扣但按税法规定应作进项税额转出的明细情况，但不包括销售折扣、折让，销货退回等应负数冲减当期进项税额的情况。</w:t>
      </w:r>
    </w:p>
    <w:p>
      <w:pPr>
        <w:pStyle w:val="2"/>
        <w:rPr>
          <w:rFonts w:hint="eastAsia"/>
        </w:rPr>
      </w:pPr>
      <w:r>
        <w:rPr>
          <w:rFonts w:hint="eastAsia"/>
        </w:rPr>
        <w:t>第13栏“本期进项税转出额”应等于第14栏至第21栏之和。</w:t>
      </w:r>
    </w:p>
    <w:p>
      <w:pPr>
        <w:pStyle w:val="2"/>
        <w:numPr>
          <w:ilvl w:val="0"/>
          <w:numId w:val="3"/>
        </w:numPr>
        <w:tabs>
          <w:tab w:val="left" w:pos="0"/>
          <w:tab w:val="clear" w:pos="720"/>
        </w:tabs>
        <w:ind w:left="105" w:firstLine="420"/>
        <w:rPr>
          <w:rFonts w:hint="eastAsia"/>
        </w:rPr>
      </w:pPr>
      <w:r>
        <w:rPr>
          <w:rFonts w:hint="eastAsia"/>
        </w:rPr>
        <w:t>本表“三、待抵扣进项税额”部分各栏数据，分别填写纳税人已经取得，但按税法规定不符合抵扣条件，暂不予在本期申报抵扣的进项税额情况及按照税法规定不允许抵扣的进项税额情况。</w:t>
      </w:r>
    </w:p>
    <w:p>
      <w:pPr>
        <w:pStyle w:val="2"/>
        <w:rPr>
          <w:rFonts w:hint="eastAsia"/>
        </w:rPr>
      </w:pPr>
      <w:r>
        <w:rPr>
          <w:rFonts w:hint="eastAsia"/>
        </w:rPr>
        <w:t>1、第23栏“期初已认证相符但未申报抵扣”，填写以前期认证相符，但按照税法规定，暂不予抵扣，结存至本期的防伪税控增值税专用发票，应与上期“期末已认证相符但未申报抵扣”栏数据相等。</w:t>
      </w:r>
    </w:p>
    <w:p>
      <w:pPr>
        <w:pStyle w:val="2"/>
        <w:ind w:firstLine="570"/>
        <w:rPr>
          <w:rFonts w:hint="eastAsia"/>
        </w:rPr>
      </w:pPr>
      <w:r>
        <w:rPr>
          <w:rFonts w:hint="eastAsia"/>
        </w:rPr>
        <w:t>2、第24栏“本期已认证相符且本期未申报抵扣”，填写本期认证相符，但因按照税法规定暂不予抵扣及按照税法规定不允许抵扣，而未申报抵扣的防伪税控增值税专用发票。包括商业企业购进货物未付款；工业企业购进货物未入库；购进固定资产；外贸企业购进供出口的货物；因退货将抵扣联退还销货方等。</w:t>
      </w:r>
    </w:p>
    <w:p>
      <w:pPr>
        <w:pStyle w:val="2"/>
        <w:ind w:firstLine="570"/>
        <w:rPr>
          <w:rFonts w:hint="eastAsia"/>
        </w:rPr>
      </w:pPr>
      <w:r>
        <w:rPr>
          <w:rFonts w:hint="eastAsia"/>
        </w:rPr>
        <w:t>3、第25栏“期末已认证相符但未申报抵扣”，填写截至本期期末，按照税法规定仍暂不予抵扣及按照税法规定不允许抵扣且已认证相符的防伪税控增值税专用发票情况。</w:t>
      </w:r>
    </w:p>
    <w:p>
      <w:pPr>
        <w:pStyle w:val="2"/>
        <w:ind w:firstLine="570"/>
        <w:rPr>
          <w:rFonts w:hint="eastAsia"/>
        </w:rPr>
      </w:pPr>
      <w:r>
        <w:rPr>
          <w:rFonts w:hint="eastAsia"/>
        </w:rPr>
        <w:t>4、第26栏“其中：按照税法规定不允许抵扣”，填写期末已认证相符但未申报抵扣的防伪税控增值税专用发票中，按照税法规定不允许抵扣，而只能作为出口退税凭证或应列入成本、资产等项目的防伪税控增值税专用发票。包括外贸出口企业用于出口而采购货物的防伪税控增值税专用发票；纳税人购买固定资产的防伪税控增值税专用发票；因退货将抵扣联退还销货方的防伪税控增值税专用发票等。</w:t>
      </w:r>
    </w:p>
    <w:p>
      <w:pPr>
        <w:pStyle w:val="2"/>
        <w:numPr>
          <w:ilvl w:val="0"/>
          <w:numId w:val="3"/>
        </w:numPr>
        <w:tabs>
          <w:tab w:val="left" w:pos="0"/>
          <w:tab w:val="clear" w:pos="720"/>
        </w:tabs>
        <w:ind w:left="105" w:firstLine="420"/>
        <w:rPr>
          <w:rFonts w:hint="eastAsia"/>
        </w:rPr>
      </w:pPr>
      <w:r>
        <w:rPr>
          <w:rFonts w:hint="eastAsia"/>
        </w:rPr>
        <w:t>本表“四、其他”栏中“本期认证相符的全部防伪税控增值税专用发票”项指标，应与防伪税控认证子系统中的本期全部认证相符的防伪税控增值税专用发票数据相同。“代扣代缴税额”项指标，填写纳税人根据《中华人民共和国增值税暂行条例实施细则》第三十四条的规定扣缴的增值税额。</w:t>
      </w:r>
    </w:p>
    <w:p>
      <w:pPr>
        <w:pStyle w:val="2"/>
        <w:ind w:left="105" w:firstLine="0"/>
      </w:pPr>
    </w:p>
    <w:p>
      <w:pPr>
        <w:jc w:val="center"/>
        <w:rPr>
          <w:rFonts w:hint="eastAsia"/>
          <w:b/>
          <w:sz w:val="28"/>
        </w:rPr>
      </w:pPr>
      <w:r>
        <w:rPr>
          <w:rFonts w:hint="eastAsia"/>
          <w:b/>
          <w:sz w:val="28"/>
        </w:rPr>
        <w:t>四、《增值税纳税申报表附列资料（表三）》填表说明</w:t>
      </w:r>
    </w:p>
    <w:p>
      <w:pPr>
        <w:pStyle w:val="2"/>
        <w:ind w:left="105" w:firstLine="0"/>
      </w:pPr>
    </w:p>
    <w:p>
      <w:pPr>
        <w:pStyle w:val="2"/>
        <w:ind w:left="105" w:firstLine="0"/>
        <w:rPr>
          <w:rFonts w:hint="eastAsia"/>
        </w:rPr>
      </w:pPr>
      <w:r>
        <w:rPr>
          <w:rFonts w:hint="eastAsia"/>
        </w:rPr>
        <w:t xml:space="preserve">   （一）本表填写本期申报抵扣的防伪税控增值税专用发票抵扣联明细情况，包括认证相符的红字防伪税控增值税专用发票。</w:t>
      </w:r>
    </w:p>
    <w:p>
      <w:pPr>
        <w:pStyle w:val="2"/>
        <w:ind w:left="105" w:firstLine="0"/>
      </w:pPr>
      <w:r>
        <w:rPr>
          <w:rFonts w:hint="eastAsia"/>
        </w:rPr>
        <w:t xml:space="preserve">   （二）本表“认证日期”填写该份防伪税控增值税专用发票通过主管税务机关认证相符的具体年、月、日。</w:t>
      </w:r>
    </w:p>
    <w:p>
      <w:pPr>
        <w:pStyle w:val="2"/>
        <w:ind w:left="105" w:firstLine="0"/>
      </w:pPr>
      <w:r>
        <w:rPr>
          <w:rFonts w:hint="eastAsia"/>
        </w:rPr>
        <w:t xml:space="preserve">   （三）本表“金额”“合计”栏数据应与《附列资料（表二）》第</w:t>
      </w:r>
      <w:r>
        <w:t>1</w:t>
      </w:r>
      <w:r>
        <w:rPr>
          <w:rFonts w:hint="eastAsia"/>
        </w:rPr>
        <w:t>栏中“金额”项数据相等；本表“税额”“合计”栏数据应与《附列资料（表二）》第</w:t>
      </w:r>
      <w:r>
        <w:t>1</w:t>
      </w:r>
      <w:r>
        <w:rPr>
          <w:rFonts w:hint="eastAsia"/>
        </w:rPr>
        <w:t>栏中“税额”项数据相等。</w:t>
      </w:r>
    </w:p>
    <w:p>
      <w:pPr>
        <w:rPr>
          <w:rFonts w:hint="eastAsia"/>
          <w:sz w:val="28"/>
        </w:rPr>
      </w:pPr>
    </w:p>
    <w:p>
      <w:pPr>
        <w:jc w:val="center"/>
        <w:rPr>
          <w:rFonts w:hint="eastAsia"/>
          <w:b/>
          <w:sz w:val="28"/>
        </w:rPr>
      </w:pPr>
      <w:r>
        <w:rPr>
          <w:rFonts w:hint="eastAsia"/>
          <w:b/>
          <w:sz w:val="28"/>
        </w:rPr>
        <w:t>五、《增值税纳税申报表附列资料（表四）》填表说明</w:t>
      </w:r>
    </w:p>
    <w:p>
      <w:pPr>
        <w:pStyle w:val="2"/>
        <w:ind w:left="105" w:firstLine="0"/>
      </w:pPr>
    </w:p>
    <w:p>
      <w:pPr>
        <w:pStyle w:val="2"/>
        <w:ind w:left="105" w:firstLine="0"/>
        <w:rPr>
          <w:rFonts w:hint="eastAsia"/>
        </w:rPr>
      </w:pPr>
      <w:r>
        <w:rPr>
          <w:rFonts w:hint="eastAsia"/>
        </w:rPr>
        <w:t xml:space="preserve">   （一）本表填写本期开具的防伪税控增值税专用发票存根联明细情况，包括作废和红字（负数）防伪税控增值税专用发票。</w:t>
      </w:r>
    </w:p>
    <w:p>
      <w:pPr>
        <w:pStyle w:val="2"/>
        <w:ind w:left="105" w:firstLine="0"/>
        <w:rPr>
          <w:rFonts w:hint="eastAsia"/>
        </w:rPr>
      </w:pPr>
      <w:r>
        <w:rPr>
          <w:rFonts w:hint="eastAsia"/>
        </w:rPr>
        <w:t xml:space="preserve">   （二）本表“作废标志”栏填写纳税人当期作废的防伪税控增值税专用发票情况，以“*”作标记，纳税人正常开具的防伪税控增值税专用发票，以空栏予以区别。</w:t>
      </w:r>
    </w:p>
    <w:p>
      <w:pPr>
        <w:pStyle w:val="2"/>
        <w:ind w:left="105" w:firstLine="0"/>
      </w:pPr>
      <w:r>
        <w:rPr>
          <w:rFonts w:hint="eastAsia"/>
        </w:rPr>
        <w:t xml:space="preserve">   （三）本表“金额”“合计”栏数据（不含作废发票金额）应等于《</w:t>
      </w:r>
      <w:r>
        <w:rPr>
          <w:rFonts w:hint="eastAsia"/>
          <w:bCs/>
        </w:rPr>
        <w:t>增值税纳税申报表</w:t>
      </w:r>
      <w:r>
        <w:rPr>
          <w:rFonts w:hint="eastAsia"/>
        </w:rPr>
        <w:t>附列资料（表一）》第1、8、15栏“小计”“销售额”项数据之和；本表“税额”“合计”栏数据（不含作废发票税额）应等于《附列资料（表一）》第1栏“小计”“销项税额”、第8栏“小计”“应纳税额”、第15栏“小计”“税额”项数据之和。</w:t>
      </w:r>
    </w:p>
    <w:p>
      <w:pPr>
        <w:rPr>
          <w:rFonts w:hint="eastAsia"/>
          <w:sz w:val="28"/>
        </w:rPr>
      </w:pPr>
    </w:p>
    <w:p>
      <w:pPr>
        <w:rPr>
          <w:rFonts w:hint="eastAsia"/>
          <w:sz w:val="28"/>
        </w:rPr>
      </w:pPr>
    </w:p>
    <w:p>
      <w:pPr>
        <w:rPr>
          <w:rFonts w:hint="eastAsia"/>
          <w:sz w:val="28"/>
        </w:rPr>
      </w:pPr>
      <w:r>
        <w:rPr>
          <w:rFonts w:hint="eastAsia"/>
          <w:sz w:val="28"/>
        </w:rPr>
        <w:t>附件：国民经济行业分类与代码</w:t>
      </w:r>
    </w:p>
    <w:tbl>
      <w:tblPr>
        <w:tblStyle w:val="4"/>
        <w:tblW w:w="8460" w:type="dxa"/>
        <w:tblInd w:w="0" w:type="dxa"/>
        <w:tblLayout w:type="autofit"/>
        <w:tblCellMar>
          <w:top w:w="0" w:type="dxa"/>
          <w:left w:w="0" w:type="dxa"/>
          <w:bottom w:w="0" w:type="dxa"/>
          <w:right w:w="0" w:type="dxa"/>
        </w:tblCellMar>
      </w:tblPr>
      <w:tblGrid>
        <w:gridCol w:w="580"/>
        <w:gridCol w:w="560"/>
        <w:gridCol w:w="1060"/>
        <w:gridCol w:w="480"/>
        <w:gridCol w:w="580"/>
        <w:gridCol w:w="1060"/>
        <w:gridCol w:w="480"/>
        <w:gridCol w:w="500"/>
        <w:gridCol w:w="1060"/>
        <w:gridCol w:w="540"/>
        <w:gridCol w:w="500"/>
        <w:gridCol w:w="1060"/>
      </w:tblGrid>
      <w:tr>
        <w:tblPrEx>
          <w:tblCellMar>
            <w:top w:w="0" w:type="dxa"/>
            <w:left w:w="0" w:type="dxa"/>
            <w:bottom w:w="0" w:type="dxa"/>
            <w:right w:w="0" w:type="dxa"/>
          </w:tblCellMar>
        </w:tblPrEx>
        <w:trPr>
          <w:trHeight w:val="324" w:hRule="atLeast"/>
        </w:trPr>
        <w:tc>
          <w:tcPr>
            <w:tcW w:w="8460" w:type="dxa"/>
            <w:gridSpan w:val="12"/>
            <w:tcBorders>
              <w:top w:val="nil"/>
              <w:left w:val="nil"/>
              <w:bottom w:val="single" w:color="auto" w:sz="8" w:space="0"/>
              <w:right w:val="nil"/>
            </w:tcBorders>
            <w:noWrap w:val="0"/>
            <w:tcMar>
              <w:top w:w="13" w:type="dxa"/>
              <w:left w:w="13" w:type="dxa"/>
              <w:bottom w:w="0" w:type="dxa"/>
              <w:right w:w="13" w:type="dxa"/>
            </w:tcMar>
            <w:vAlign w:val="center"/>
          </w:tcPr>
          <w:p>
            <w:pPr>
              <w:jc w:val="center"/>
              <w:rPr>
                <w:rFonts w:ascii="Courier New" w:hAnsi="Courier New" w:cs="Courier New"/>
                <w:sz w:val="16"/>
                <w:szCs w:val="16"/>
              </w:rPr>
            </w:pPr>
            <w:r>
              <w:rPr>
                <w:rFonts w:hint="eastAsia" w:ascii="Courier New" w:hAnsi="Courier New" w:cs="Courier New"/>
                <w:sz w:val="16"/>
                <w:szCs w:val="16"/>
              </w:rPr>
              <w:t>国民经济行业分类与代码（GB/T4754-2002）</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农业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稀土金属矿采选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固体饮料制造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加工纸制造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谷物的种植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放射性金属矿采选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茶饮料及其他软饮料制造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纸和纸板容器的制造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薯类的种植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其他稀有金属矿采选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精制茶加工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2239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其他纸制品制造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油料的种植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非金属矿采选业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烟草制品业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印刷业和记录媒介的复制</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豆类的种植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石灰石、石膏开采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1610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烟叶复烤</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书、报、刊印刷</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棉花的种植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建筑装饰用石开采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1620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卷烟制造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本册印制</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麻类的种植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耐火土石开采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1690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其他烟草制品加工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2319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包装装潢及其他印刷</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糖料的种植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粘土及其他土砂石开采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纺织业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装订及其他印刷服务活动</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118</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烟草的种植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化学矿采选业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棉、化纤纺织加工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2330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记录媒介的复制</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其他作物的种植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采盐</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棉、化纤印染精加工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文教体育用品制造业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蔬菜的种植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石棉、云母矿采选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毛条加工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文具制造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花卉的种植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石墨、滑石采选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毛纺织</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笔的制造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其他园艺作物的种植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1093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宝石、玉石开采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毛染整精加工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2413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教学用模型及教具制造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水果、坚果的种植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1099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其他非金属矿采选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麻纺织</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2414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墨水、墨汁制造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茶及其他饮料作物的种植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其他采矿业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缫丝加工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2419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其他文化用品制造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香料作物的种植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1100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其他采矿业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绢纺和丝织加工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球类制造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中药材的种植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农副食品加工业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1743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丝印染精加工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体育器材及配件制造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林业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谷物磨制</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棉、化纤制品制造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训练健身器材制造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育种和育苗</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饲料加工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运动防护用具制造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造林</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食用植物油加工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麻制品制造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其他体育用品制造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林木的抚育和管理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非食用植物油加工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丝制品制造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中乐器制造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木材的采运</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制糖</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绳、索、缆的制品</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西乐器制造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竹材的采运</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畜禽屠宰</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纺织带和帘子布制造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2433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电子乐器制造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林产品的采集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肉制品及副产品加工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无纺布制造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2439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其他乐器及零件制造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畜牧业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水产品冷冻加工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其他纺织制成品制造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2440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玩具制造业</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牲畜的饲养</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鱼糜制品及水产品干腌制加工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棉、化纤针织品及编织品制造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2451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露天游乐场所游乐设备制造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猪的饲养</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1363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水产饲料制造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毛针织品及编织品制造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2452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游艺用品及室内游艺器材制造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家禽的饲养</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1364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鱼油提取及制品的制造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1763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丝针织品及编织品制造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25</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石油加工、炼焦及核燃料加工业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狩猎和捕捉动物</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其他水产品加工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1769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其他针织品及编织品制造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2511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原油加工及石油制品制造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其他畜牧业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蔬菜、水果和坚果加工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18</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纺织服装、鞋、帽制造业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2512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人造原油生产</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渔业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淀粉及淀粉制品的制造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1810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纺织服装制造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2520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炼焦</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海水养殖</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豆制品制造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1820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纺织面料鞋的制造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2530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核燃料加工</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海洋捕捞</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1393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蛋品加工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1830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制帽</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化学原料及化学制品制造业</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内陆养殖</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1399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其他未列明的农副食品加工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皮革、毛皮、羽毛（绒）及其制品业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无机酸制造</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内陆捕捞</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食品制造业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皮革鞣制加工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无机碱制造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农、林、牧、渔服务业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糕点、面包制造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皮鞋制造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2613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无机盐制造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灌溉服务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饼干及其他焙烤食品制造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革皮服装制造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2614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有机化学原料制造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农产品初加工服务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糖果、巧克力制造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皮箱、包（袋）制造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2619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其他基础化学原料制造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其他农业服务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密饯制作</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皮手套及皮装饰制品制造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氮肥制造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林业服务业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米、面制品制造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其他皮革制品制造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磷肥制造</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兽医服务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速冻食品制造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毛皮鞣制加工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钾肥制造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其他畜牧服务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方便面及其他方便食品制造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毛皮服装加工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复混肥料制造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渔业服务业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液体乳及乳制品制造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其他毛皮制品加工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有机肥料及微生物肥料制造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煤炭开采和洗选业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肉、禽类罐头制造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羽毛</w:t>
            </w:r>
            <w:r>
              <w:rPr>
                <w:sz w:val="16"/>
                <w:szCs w:val="16"/>
              </w:rPr>
              <w:t>(</w:t>
            </w:r>
            <w:r>
              <w:rPr>
                <w:rFonts w:hint="eastAsia"/>
                <w:sz w:val="16"/>
                <w:szCs w:val="16"/>
              </w:rPr>
              <w:t>绒</w:t>
            </w:r>
            <w:r>
              <w:rPr>
                <w:sz w:val="16"/>
                <w:szCs w:val="16"/>
              </w:rPr>
              <w:t>)</w:t>
            </w:r>
            <w:r>
              <w:rPr>
                <w:rFonts w:hint="eastAsia"/>
                <w:sz w:val="16"/>
                <w:szCs w:val="16"/>
              </w:rPr>
              <w:t>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其他肥料制造</w:t>
            </w:r>
          </w:p>
        </w:tc>
      </w:tr>
      <w:tr>
        <w:tblPrEx>
          <w:tblCellMar>
            <w:top w:w="0" w:type="dxa"/>
            <w:left w:w="0" w:type="dxa"/>
            <w:bottom w:w="0" w:type="dxa"/>
            <w:right w:w="0" w:type="dxa"/>
          </w:tblCellMar>
        </w:tblPrEx>
        <w:trPr>
          <w:trHeight w:val="39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烟煤和无烟煤开采洗选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水产品罐头制造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1942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羽毛</w:t>
            </w:r>
            <w:r>
              <w:rPr>
                <w:sz w:val="16"/>
                <w:szCs w:val="16"/>
              </w:rPr>
              <w:t>(</w:t>
            </w:r>
            <w:r>
              <w:rPr>
                <w:rFonts w:hint="eastAsia"/>
                <w:sz w:val="16"/>
                <w:szCs w:val="16"/>
              </w:rPr>
              <w:t>绒</w:t>
            </w:r>
            <w:r>
              <w:rPr>
                <w:sz w:val="16"/>
                <w:szCs w:val="16"/>
              </w:rPr>
              <w:t>)</w:t>
            </w:r>
            <w:r>
              <w:rPr>
                <w:rFonts w:hint="eastAsia"/>
                <w:sz w:val="16"/>
                <w:szCs w:val="16"/>
              </w:rPr>
              <w:t>制品加工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化学农药制造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褐煤的开采洗选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蔬菜、水果罐头制造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木材加工及木、竹、藤、棕、草制品业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生物化学农药及微生物农药制造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其他煤炭采选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其他罐头食品制造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锯材加工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2641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涂料制造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石油和天然气开采业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味精制造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木片加工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2642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油墨及类似产品制造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天然原油和天然气开采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酱油、食醋及类似制品的制造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胶合板制造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2643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颜料制造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与石油和天然气开采有关的服务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其他调味品、发酵制品的制造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纤维板制造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2644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染料制造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黑色金属矿采选业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营养、保健食品制造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刨花板制造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2645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密封用填料及类似产品制造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铁矿采选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冷冻饮品及食用冰制造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其他人造板、材制造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2651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初级型态的塑料及合成树脂制造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其他黑色金属矿采选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1493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盐加工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建筑用木料及木材组件加工</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2652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合成橡胶制造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有色金属矿采选业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1494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食品及饲料添加剂制造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木容器制造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2653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合成纤维单（聚合）体的制造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铜矿采选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1499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其他未列明的食品制造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软木制品及其他木制品制造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2659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其他合成材料制造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铅锌矿采选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饮料制造业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2040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竹、藤、棕、草制品制造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化学试剂和助剂制造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镍钴矿采选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酒精制造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家具制造业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专项化学用品制造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锡矿采选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白酒制造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木质家具制造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林产化学产品制造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锑矿采选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啤酒制造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竹、藤家具制造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炸药及火工产品制造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铝矿采选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黄酒制造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金属家具制造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信息化学品制造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镁矿采选业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葡萄酒制造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塑料家具制造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环境污染处理专用药剂材料制造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其他常用有色金属矿采选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其他酒制造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2190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其他家具制造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2667</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动物胶制造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碳酸饮料制造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造纸及纸制品业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2669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其他专用化学产品制造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银矿采选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瓶（罐）装饮用水制造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纸浆制造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2671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肥皂及合成洗涤剂制造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其他贵金属矿采选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果菜汁及果菜汁饮料制造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机制纸及纸板制造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2672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化妆品制造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钨钼矿采选</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1534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含乳饮料和植物蛋白饮料制造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2222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手工纸制造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2673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口腔清洁用品制造</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24" w:hRule="atLeast"/>
        </w:trPr>
        <w:tc>
          <w:tcPr>
            <w:tcW w:w="8460" w:type="dxa"/>
            <w:gridSpan w:val="12"/>
            <w:tcBorders>
              <w:top w:val="single" w:color="auto" w:sz="8" w:space="0"/>
              <w:left w:val="nil"/>
              <w:bottom w:val="single" w:color="auto" w:sz="8" w:space="0"/>
              <w:right w:val="nil"/>
            </w:tcBorders>
            <w:noWrap w:val="0"/>
            <w:tcMar>
              <w:top w:w="13" w:type="dxa"/>
              <w:left w:w="13" w:type="dxa"/>
              <w:bottom w:w="0" w:type="dxa"/>
              <w:right w:w="13" w:type="dxa"/>
            </w:tcMar>
            <w:vAlign w:val="center"/>
          </w:tcPr>
          <w:p>
            <w:pPr>
              <w:jc w:val="center"/>
              <w:rPr>
                <w:rFonts w:ascii="Courier New" w:hAnsi="Courier New" w:cs="Courier New"/>
                <w:sz w:val="16"/>
                <w:szCs w:val="16"/>
              </w:rPr>
            </w:pPr>
            <w:r>
              <w:rPr>
                <w:rFonts w:hint="eastAsia" w:ascii="Courier New" w:hAnsi="Courier New" w:cs="Courier New"/>
                <w:sz w:val="16"/>
                <w:szCs w:val="16"/>
              </w:rPr>
              <w:t>（GB/T4754—2002）（续</w:t>
            </w:r>
            <w:r>
              <w:rPr>
                <w:rFonts w:hint="eastAsia" w:cs="Courier New"/>
                <w:sz w:val="16"/>
                <w:szCs w:val="16"/>
              </w:rPr>
              <w:t>）</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2674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香料、香精制造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石棉制品制造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起重运输设备制造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医疗、外科及兽医用器械制造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2679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其他日用化学产品制造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云母制品制造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泵及真空设备制造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机械治疗及病房护理设备制造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医药制造业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耐火陶瓷制品及其他耐火材料制造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气体压缩机械制造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假肢、人工器官及植入器械制造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化学药品原药制造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石墨及碳素制品制造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3543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阀门和旋塞的制造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其他医疗设备及器械制造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化学药品制剂制造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其他非金属矿物制品制造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3544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液压和气压动力机械及元件的制造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环境污染防治专用设备制造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中药饮片加工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黑色金属冶炼及压延加工业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轴承制造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地质勘查专用设备制造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中成药制造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炼铁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齿轮、传动和驱动部件制造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邮政专用机械及器材制造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兽用药品制造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炼钢</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烘炉、熔炉及电炉制造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商业、饮食、服务业专用设备制造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生物、生化制品的制造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钢压延加工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风机、风扇制造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社会公共安全设备及器材制造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2770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卫生材料及医药用品制造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3240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铁合金冶炼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气体、液体分离及纯净设备制造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交通安全及管制专用设备制造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化学纤维制造业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有色金属冶炼及压延加工业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制冷、空调设备制造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3697</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水资源专用机械制造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化纤浆粕制造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铜冶炼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风动和电动工具制造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3699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其他专用设备制造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人造纤维（纤维素纤维）制造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铅锌冶炼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喷枪及类似器具制造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交通运输设备制造业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锦纶纤维制造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镍钴冶炼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包装专用设备制造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铁路机车车辆及动车组制造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涤纶纤维制造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锡冶炼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衡器制造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工矿有轨专用车辆制造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腈纶纤维制造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锑冶炼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3579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其他通用设备制造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3713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铁路机车车辆配件制造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维纶纤维制造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铝冶炼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3581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金属密封件制造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3714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铁路专用设备及器材、配件制造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2829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其他合成纤维制造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镁冶炼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3582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紧固件、弹簧制造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3715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其他铁路设备制造及设备修理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橡胶制品业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其他常用有色金属冶炼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3583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机械零部件加工及设备修理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汽车整车制造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车辆、飞机及工程机械轮胎制造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3589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其他通用零部件制造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改装汽车制造</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力车胎制造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银冶炼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钢铁铸件制造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电车制造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轮胎翻新加工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其他贵金属冶炼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锻件及粉末冶金制品制造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汽车车身、挂车的制造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橡胶板、管、带的制造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钨钼冶炼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专用设备制造业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汽车零部件及配件制造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橡胶零件制造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稀土金属冶炼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采矿、采石设备制造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3726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汽车修理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再生橡胶制造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其他稀有金属冶炼</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石油钻采专用设备制造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摩托车整车制造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日用及医用橡胶制品制造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有色金属合金制造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建筑工程用机械制造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摩托车零部件及配件制造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橡胶靴鞋制造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常用有色金属压延加工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建筑材料生产专用机械制造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3741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脚踏自行车及残疾人座车制造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2990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其他橡胶制品制造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贵金属压延加工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冶金专用设备制造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3742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助动自行车制造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塑料制品业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3353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稀有稀土金属压延加工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炼油、化工生产专用设备制造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金属船舶制造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塑料薄膜制造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金属制品业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橡胶加工专用设备制造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非金属船舶制造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塑料板、管、型材的制造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金属结构制造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塑料加工专用设备制造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娱乐船和运动船的建制造和修理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塑料丝、绳及编织品的制造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金属门窗制造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木材加工机械制造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船用配套设备制造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泡沫塑料制造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切削工具制造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模具制造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船舶修理及拆船</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塑料人造革、合成革制造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手工具制造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其他非金属加工专用设备制造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3759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航标器材及其他浮动装置的制造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塑料包装箱及容器制造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农用及园林用工具制造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食品、饮料、烟草专用设备制造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3761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飞机制造及修理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塑料零件制造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刀剪及类似日用工具制造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农副食品加工专用设备制造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3762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航天器制造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3081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塑料鞋制造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其他金属工具制造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饲料生产专用设备制造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3769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其他飞行器制造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3082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日用塑料杂品制造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集装箱制造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制浆和造纸专用设备制造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3791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潜水及水下救捞装备制造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3090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其他塑料制品制造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金属压力容器制造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印刷专用设备制造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3792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交通管理用金属标志及设施制造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非金属矿物制品业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金属包装容器制造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日用化工专用设备制造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3799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其他交通运输设备制造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水泥制造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金属丝绳及其制品制造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制药专用设备制造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电气机械及器材制造业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石灰和石膏制造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建筑、家具用金属配件制造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照明器具生产专用设备制造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发电机及发电机组制造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水泥制品制造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建筑装饰及水暖管道零件制造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玻璃陶瓷和搪瓷制品专用设备制造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电动机制造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砼结构构件制造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安全消防用金属制品制造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3649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其他日用品生产专用设备制造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3913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微电机及其他电机制造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石棉水泥制品制造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其他建筑、安全用金属制品制造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纺织专用设备制造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变压器、整流器和电感器制造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轻质建筑材料制造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金属表面处理及热处理加工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皮革毛皮及其制品加工设备制造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电容器及其配套设备制造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其他水泥制品制造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工业生产配套用搪瓷制品制造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缝纫机械制造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配电开关控制设备制造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粘土砖瓦及建筑砌块制造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搪瓷卫生洁具制造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其他服装加工专用设备制造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电力电子元器件制造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建筑陶瓷制品制造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3473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搪瓷日用品及其他搪瓷制品制造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电工机械专用设备制造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其他输配电及控制设备制造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建筑用石加工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3481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金属制厨房调理及卫生器具制造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电子工业专用设备制造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电线电缆制造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防水建筑材料制造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3482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金属制厨房用器皿及餐具制造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3663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武器弹药制造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光纤、光缆制造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隔热隔音材料制造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3489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其他日用金属制品制造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航空、航天及其他专用设备制造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3933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绝缘制品制造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其他建筑材料制造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铸币及贵金属制实验室用品制造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拖拉机制造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3939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其他电工器材制造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平板玻璃制造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3499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其他未列明的金属制品制造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机械化农业及园艺机具制造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3940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电池制造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技术玻璃制品制造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通用设备制造业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营林及木竹采伐机械制造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家用制冷电器具制造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光学玻璃制造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锅炉及辅助设备制造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畜牧机械制造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家用空气调节器制造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玻璃仪器制造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内燃机及配件制造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渔业机械制造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家用通风电器具制造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日用玻璃制品及玻璃包装容器制造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汽轮机及辅机制造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农林牧渔机械配件制造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家用厨房电器具制造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玻璃保温容器制造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水轮机及辅机制造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3679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其它农林牧渔业机械制造及修理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家用清洁卫生电器具制造</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玻璃纤维及制品制造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其他原动机制造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医疗诊断、监护及治疗设备制造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家用美容、保健电器具制造</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3148</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玻璃纤维增强塑料制品制造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金属切削机床制造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口腔科用设备及器具制造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3149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其他玻璃制品制造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金属成形机床制造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3683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实验室及医用消毒设备和器具制造</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卫生陶瓷制品制造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铸造机械制造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特种陶瓷制品制造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金属切割及焊接设备制造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日用陶瓷制品制造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机床附件制造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588"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3159</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园林、艺术及其他陶瓷制品制造</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3529</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其他金属加工机械制造</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　</w:t>
            </w:r>
          </w:p>
        </w:tc>
      </w:tr>
      <w:tr>
        <w:tblPrEx>
          <w:tblCellMar>
            <w:top w:w="0" w:type="dxa"/>
            <w:left w:w="0" w:type="dxa"/>
            <w:bottom w:w="0" w:type="dxa"/>
            <w:right w:w="0" w:type="dxa"/>
          </w:tblCellMar>
        </w:tblPrEx>
        <w:trPr>
          <w:trHeight w:val="312" w:hRule="atLeast"/>
        </w:trPr>
        <w:tc>
          <w:tcPr>
            <w:tcW w:w="58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6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48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8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48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0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4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0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sz w:val="16"/>
                <w:szCs w:val="16"/>
              </w:rPr>
            </w:pPr>
          </w:p>
        </w:tc>
      </w:tr>
      <w:tr>
        <w:tblPrEx>
          <w:tblCellMar>
            <w:top w:w="0" w:type="dxa"/>
            <w:left w:w="0" w:type="dxa"/>
            <w:bottom w:w="0" w:type="dxa"/>
            <w:right w:w="0" w:type="dxa"/>
          </w:tblCellMar>
        </w:tblPrEx>
        <w:trPr>
          <w:trHeight w:val="324" w:hRule="atLeast"/>
        </w:trPr>
        <w:tc>
          <w:tcPr>
            <w:tcW w:w="8460" w:type="dxa"/>
            <w:gridSpan w:val="12"/>
            <w:tcBorders>
              <w:top w:val="nil"/>
              <w:left w:val="nil"/>
              <w:bottom w:val="single" w:color="auto" w:sz="8" w:space="0"/>
              <w:right w:val="nil"/>
            </w:tcBorders>
            <w:noWrap w:val="0"/>
            <w:tcMar>
              <w:top w:w="13" w:type="dxa"/>
              <w:left w:w="13" w:type="dxa"/>
              <w:bottom w:w="0" w:type="dxa"/>
              <w:right w:w="13" w:type="dxa"/>
            </w:tcMar>
            <w:vAlign w:val="center"/>
          </w:tcPr>
          <w:p>
            <w:pPr>
              <w:jc w:val="center"/>
              <w:rPr>
                <w:rFonts w:ascii="Courier New" w:hAnsi="Courier New" w:cs="Courier New"/>
                <w:sz w:val="16"/>
                <w:szCs w:val="16"/>
              </w:rPr>
            </w:pPr>
            <w:r>
              <w:rPr>
                <w:rFonts w:hint="eastAsia" w:ascii="Courier New" w:hAnsi="Courier New" w:cs="Courier New"/>
                <w:sz w:val="16"/>
                <w:szCs w:val="16"/>
              </w:rPr>
              <w:t>（GB/T4754—2002）（续</w:t>
            </w:r>
            <w:r>
              <w:rPr>
                <w:rFonts w:hint="eastAsia" w:cs="Courier New"/>
                <w:sz w:val="16"/>
                <w:szCs w:val="16"/>
              </w:rPr>
              <w:t>）</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家用电力器具专用配件制造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漆器工艺品制造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城市轮渡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其他食品批发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其他家用电力器具制造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花画工艺品制造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其他城市公共交通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纺织品、针织品及原料批发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燃气、太阳能及类似能源器具制造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天然植物纤维编织工艺品制造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水上运输业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服装批发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3969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其他非电力家用器具制造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抽纱刺绣工艺品制造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远洋旅客运输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鞋帽批发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电光源制造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地毯、挂毯制造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沿海旅客运输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厨房、卫生间用具及日用杂货批发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照明灯具制造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4218</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珠宝首饰及有关物品的制造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内河旅客运输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化妆品及卫生用品批发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3979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灯用电器附件及其他照明器具制造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其他工艺美术品制造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远洋货物运输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6339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其他日用品批发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车辆专用照明及电气信号设备制造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制镜及类似品加工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沿海货物运输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文具用品批发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3999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其他未列明的电气机械制造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鬃毛加工、制刷及清扫工具的制造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内河货物运输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体育用品批发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通信设备、计算机及其他电子设备制造业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其他日用杂品制造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客运港口</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图书批发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通信传输设备制造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煤制品制造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货运港口</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报刊批发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通信交换设备制造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核辐射加工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5439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其他水上运输辅助活动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音像制品及电子出版物批发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通信终端设备制造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航空运输业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首饰、工艺品及收藏品批发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移动通信及终端设备制造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43</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废弃资源和废旧材料回收加工业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航空旅客运输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6349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其他文化用品批发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其他通信设备制造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4310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金属废料和碎屑的加工处理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航空货物运输</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6351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西药批发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雷达及配套设备制造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4320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非金属废料和碎屑的加工处理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通用航空服务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6352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中药材及中成药批发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广播电视节目制作及发射设备制造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电力、热力的生产和供应业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机场</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6353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医疗用品及器材批发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广播电视接收设备及器材制造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火力发电</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空中交通管理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煤炭及制品批发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应用电视设备及其他广播电视设备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水力发电</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5539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其他航空运输辅助活动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石油及制品批发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电子计算机整机制造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核力发电</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管道运输业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非金属矿及制品批发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计算机网络设备制造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其他能源发电</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5600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管道运输业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金属及金属矿批发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4043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电子计算机外部设备制造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电力供应</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57</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装卸搬运和其他运输服务业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建材批发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电子真空器件制造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4430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热力生产和供应</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装卸搬运</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化肥批发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半导体分立器件制造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45</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燃气生产和供应业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5720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运输代理服务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6367</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农药批发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集成电路制造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4500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燃气生产和供应业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58</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仓储业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6368</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农用薄膜批发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光电子器件及其他电子器件制造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46</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水的生产和供应业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5810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谷物、棉花等农产品仓储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6369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其他化工产品批发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电子元件及组件制造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4610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自来水的生产和供应</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5890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其他仓储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农业机械批发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印制电路板制造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4620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污水处理及其再生利用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59</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邮政业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汽车、摩托车及零配件批发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家用影视设备制造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4690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其他水的处理、利用和分配</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5910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国家邮政</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五金、交电批发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家用音响设备制造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房屋和土木工程建筑业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5990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其他寄递服务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家用电器批发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4090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其他电子设备制造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房屋工程建筑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电信和其他信息传输服务业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计算机、软件及辅助设备批发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仪器仪表及文化办公用机械制造业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铁路、道路、隧道和桥梁工程建筑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固定电信服务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通讯及广播电视设备批发</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工业自动控制系统装置制造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水利和港口工程建筑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移动电信服务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6379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其他机械设备及电子产品批发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电工仪器仪表制造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工矿工程建筑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其他电信服务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6380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贸易经纪与代理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绘图、计算及测量仪器制造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架线和管道工程建筑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互联网信息服务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6391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再生物资回收与批发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实验分析仪器制造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4729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其他土木工程建筑</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有线广播电视传输服务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6399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其他未列明的批发</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试验机制造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48</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建筑安装业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无线广播电视传输服务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零售业</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供应用仪表及其他通用仪器制造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4800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建筑安装业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6040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卫星传输服务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百货零售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环境监测专用仪器仪表制造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49</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建筑装饰业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计算机服务业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超级市场零售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汽车及其他用计数仪表制造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4900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建筑装饰业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计算机系统服务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6519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其他综合零售</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导航、气象及海洋专用仪器制造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50</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其他建筑业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数据处理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粮油零售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农林牧渔专用仪器仪表制造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5010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工程准备</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计算机维修</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糕点、面包零售</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地质勘探和地震专用仪器制造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提供施工设备服务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6190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其他计算机服务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果品、蔬菜零售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教学专用仪器制造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5090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其他未列明的建筑活动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62</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软件业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肉、禽、蛋及水产品零售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4127</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核子及核辐射测量仪器制造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eastAsia="黑体"/>
                <w:sz w:val="16"/>
                <w:szCs w:val="16"/>
              </w:rPr>
            </w:pPr>
            <w:r>
              <w:rPr>
                <w:rFonts w:hint="eastAsia" w:ascii="黑体" w:eastAsia="黑体"/>
                <w:sz w:val="16"/>
                <w:szCs w:val="16"/>
              </w:rPr>
              <w:t>铁路运输业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6211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sz w:val="16"/>
                <w:szCs w:val="16"/>
              </w:rPr>
            </w:pPr>
            <w:r>
              <w:rPr>
                <w:rFonts w:hint="eastAsia"/>
                <w:sz w:val="16"/>
                <w:szCs w:val="16"/>
              </w:rPr>
              <w:t>基础软件服务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sz w:val="16"/>
                <w:szCs w:val="16"/>
              </w:rPr>
            </w:pPr>
            <w:r>
              <w:rPr>
                <w:rFonts w:hint="eastAsia"/>
                <w:sz w:val="16"/>
                <w:szCs w:val="16"/>
              </w:rPr>
              <w:t>饮料及茶叶零售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4128</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电子测量仪器制造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铁路旅客运输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6212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应用软件服务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烟草制品零售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其他专用仪器制造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铁路货物运输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6290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其他软件服务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其他食品零售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钟表与计时仪器制造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客运火车站</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批发业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纺织品及针织品零售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光学仪器制造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货运火车站</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谷物、豆及薯类批发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服装零售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眼镜制造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5139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其他铁路运输辅助活动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种子、饲料批发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鞋帽零售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电影机械制造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道路运输业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棉、麻批发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钟表、眼镜零售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幻灯及投影设备制造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公路旅客运输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牲畜批发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化妆品及卫生用品零售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照相机及器材制造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道路货物运输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其他农畜产品批发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6539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其他日用品零售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复印和胶印设备制造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客运汽车站</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米、面制品及食用油批发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文具用品零售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计算器及货币专用设备制造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公路管理与养护</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糕点、糖果及糖批发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体育用品零售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4159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其他文化、办公用机械制造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5239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其他道路运输辅助活动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果品、蔬菜批发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图书零售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4190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其他仪器仪表的制造及修理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城市公共交通业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肉、禽、蛋及水产品批发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报刊零售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工艺品及其他制造业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公共电汽车客运</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盐及调味品批发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音像制品及电子出版物零售</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雕塑工艺品制造</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轨道交通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饮料及茶叶批发</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珠宝首饰零售</w:t>
            </w:r>
          </w:p>
        </w:tc>
      </w:tr>
      <w:tr>
        <w:tblPrEx>
          <w:tblCellMar>
            <w:top w:w="0" w:type="dxa"/>
            <w:left w:w="0" w:type="dxa"/>
            <w:bottom w:w="0" w:type="dxa"/>
            <w:right w:w="0" w:type="dxa"/>
          </w:tblCellMar>
        </w:tblPrEx>
        <w:trPr>
          <w:trHeight w:val="396"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4212</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金属工艺品制造</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5330</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出租车客运</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6327</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烟草制品批发</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6547</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工艺美术品及收藏品零售</w:t>
            </w:r>
          </w:p>
        </w:tc>
      </w:tr>
      <w:tr>
        <w:tblPrEx>
          <w:tblCellMar>
            <w:top w:w="0" w:type="dxa"/>
            <w:left w:w="0" w:type="dxa"/>
            <w:bottom w:w="0" w:type="dxa"/>
            <w:right w:w="0" w:type="dxa"/>
          </w:tblCellMar>
        </w:tblPrEx>
        <w:trPr>
          <w:trHeight w:val="312" w:hRule="atLeast"/>
        </w:trPr>
        <w:tc>
          <w:tcPr>
            <w:tcW w:w="580" w:type="dxa"/>
            <w:tcBorders>
              <w:top w:val="nil"/>
              <w:left w:val="nil"/>
              <w:bottom w:val="nil"/>
              <w:right w:val="nil"/>
            </w:tcBorders>
            <w:noWrap/>
            <w:tcMar>
              <w:top w:w="13" w:type="dxa"/>
              <w:left w:w="13" w:type="dxa"/>
              <w:bottom w:w="0" w:type="dxa"/>
              <w:right w:w="13" w:type="dxa"/>
            </w:tcMar>
            <w:vAlign w:val="center"/>
          </w:tcPr>
          <w:p>
            <w:pPr>
              <w:rPr>
                <w:sz w:val="16"/>
                <w:szCs w:val="16"/>
              </w:rPr>
            </w:pPr>
          </w:p>
        </w:tc>
        <w:tc>
          <w:tcPr>
            <w:tcW w:w="56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48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58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48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50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54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50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c>
          <w:tcPr>
            <w:tcW w:w="1060" w:type="dxa"/>
            <w:tcBorders>
              <w:top w:val="nil"/>
              <w:left w:val="nil"/>
              <w:bottom w:val="nil"/>
              <w:right w:val="nil"/>
            </w:tcBorders>
            <w:noWrap/>
            <w:tcMar>
              <w:top w:w="13" w:type="dxa"/>
              <w:left w:w="13" w:type="dxa"/>
              <w:bottom w:w="0" w:type="dxa"/>
              <w:right w:w="13" w:type="dxa"/>
            </w:tcMar>
            <w:vAlign w:val="center"/>
          </w:tcPr>
          <w:p>
            <w:pPr>
              <w:rPr>
                <w:rFonts w:ascii="宋体" w:hAnsi="宋体"/>
                <w:sz w:val="16"/>
                <w:szCs w:val="16"/>
              </w:rPr>
            </w:pPr>
          </w:p>
        </w:tc>
      </w:tr>
      <w:tr>
        <w:tblPrEx>
          <w:tblCellMar>
            <w:top w:w="0" w:type="dxa"/>
            <w:left w:w="0" w:type="dxa"/>
            <w:bottom w:w="0" w:type="dxa"/>
            <w:right w:w="0" w:type="dxa"/>
          </w:tblCellMar>
        </w:tblPrEx>
        <w:trPr>
          <w:trHeight w:val="324" w:hRule="atLeast"/>
        </w:trPr>
        <w:tc>
          <w:tcPr>
            <w:tcW w:w="8460" w:type="dxa"/>
            <w:gridSpan w:val="12"/>
            <w:tcBorders>
              <w:top w:val="nil"/>
              <w:left w:val="nil"/>
              <w:bottom w:val="single" w:color="auto" w:sz="8" w:space="0"/>
              <w:right w:val="nil"/>
            </w:tcBorders>
            <w:noWrap w:val="0"/>
            <w:tcMar>
              <w:top w:w="13" w:type="dxa"/>
              <w:left w:w="13" w:type="dxa"/>
              <w:bottom w:w="0" w:type="dxa"/>
              <w:right w:w="13" w:type="dxa"/>
            </w:tcMar>
            <w:vAlign w:val="center"/>
          </w:tcPr>
          <w:p>
            <w:pPr>
              <w:jc w:val="center"/>
              <w:rPr>
                <w:rFonts w:ascii="Courier New" w:hAnsi="Courier New" w:cs="Courier New"/>
                <w:sz w:val="16"/>
                <w:szCs w:val="16"/>
              </w:rPr>
            </w:pPr>
            <w:r>
              <w:rPr>
                <w:rFonts w:hint="eastAsia" w:ascii="Courier New" w:hAnsi="Courier New" w:cs="Courier New"/>
                <w:sz w:val="16"/>
                <w:szCs w:val="16"/>
              </w:rPr>
              <w:t>（GB/T4754—2002）（续</w:t>
            </w:r>
            <w:r>
              <w:rPr>
                <w:rFonts w:hint="eastAsia" w:cs="Courier New"/>
                <w:sz w:val="16"/>
                <w:szCs w:val="16"/>
              </w:rPr>
              <w:t>）</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大</w:t>
            </w:r>
            <w:r>
              <w:rPr>
                <w:rFonts w:eastAsia="黑体"/>
                <w:sz w:val="16"/>
                <w:szCs w:val="16"/>
              </w:rPr>
              <w:t xml:space="preserve"> </w:t>
            </w:r>
            <w:r>
              <w:rPr>
                <w:rFonts w:hint="eastAsia" w:ascii="黑体" w:eastAsia="黑体"/>
                <w:sz w:val="16"/>
                <w:szCs w:val="16"/>
              </w:rPr>
              <w:t>类</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小</w:t>
            </w:r>
            <w:r>
              <w:rPr>
                <w:rFonts w:eastAsia="黑体"/>
                <w:sz w:val="16"/>
                <w:szCs w:val="16"/>
              </w:rPr>
              <w:t xml:space="preserve"> </w:t>
            </w:r>
            <w:r>
              <w:rPr>
                <w:rFonts w:hint="eastAsia" w:ascii="黑体" w:eastAsia="黑体"/>
                <w:sz w:val="16"/>
                <w:szCs w:val="16"/>
              </w:rPr>
              <w:t>类</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center"/>
          </w:tcPr>
          <w:p>
            <w:pPr>
              <w:jc w:val="center"/>
              <w:rPr>
                <w:rFonts w:ascii="黑体" w:hAnsi="宋体" w:eastAsia="黑体"/>
                <w:sz w:val="16"/>
                <w:szCs w:val="16"/>
              </w:rPr>
            </w:pPr>
            <w:r>
              <w:rPr>
                <w:rFonts w:hint="eastAsia" w:ascii="黑体" w:eastAsia="黑体"/>
                <w:sz w:val="16"/>
                <w:szCs w:val="16"/>
              </w:rPr>
              <w:t>类</w:t>
            </w:r>
            <w:r>
              <w:rPr>
                <w:rFonts w:eastAsia="黑体"/>
                <w:sz w:val="16"/>
                <w:szCs w:val="16"/>
              </w:rPr>
              <w:t xml:space="preserve">   </w:t>
            </w:r>
            <w:r>
              <w:rPr>
                <w:rFonts w:hint="eastAsia" w:ascii="黑体" w:eastAsia="黑体"/>
                <w:sz w:val="16"/>
                <w:szCs w:val="16"/>
              </w:rPr>
              <w:t>别</w:t>
            </w:r>
            <w:r>
              <w:rPr>
                <w:rFonts w:eastAsia="黑体"/>
                <w:sz w:val="16"/>
                <w:szCs w:val="16"/>
              </w:rPr>
              <w:t xml:space="preserve">   </w:t>
            </w:r>
            <w:r>
              <w:rPr>
                <w:rFonts w:hint="eastAsia" w:ascii="黑体" w:eastAsia="黑体"/>
                <w:sz w:val="16"/>
                <w:szCs w:val="16"/>
              </w:rPr>
              <w:t>名</w:t>
            </w:r>
            <w:r>
              <w:rPr>
                <w:rFonts w:eastAsia="黑体"/>
                <w:sz w:val="16"/>
                <w:szCs w:val="16"/>
              </w:rPr>
              <w:t xml:space="preserve">   </w:t>
            </w:r>
            <w:r>
              <w:rPr>
                <w:rFonts w:hint="eastAsia" w:ascii="黑体" w:eastAsia="黑体"/>
                <w:sz w:val="16"/>
                <w:szCs w:val="16"/>
              </w:rPr>
              <w:t>称</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6548</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照相器材零售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投资与资产管理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其他环境治理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电子出版物出版</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6549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其他文化用品零售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其他企业管理服务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公共设施管理业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其他出版</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6551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药品零售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律师及相关的法律服务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市政公共设施管理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广播、电视、电影和音像业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6552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医疗用品及器材零售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公证服务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城市绿化管理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广播</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6561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汽车零售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其他法律服务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风景名胜区管理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6562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汽车零配件零售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会计、审计及税务服务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公园管理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8930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电影</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6563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摩托车及零配件零售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7432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市场调查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8139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其他游览景区管理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电影制作与发行</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6564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机动车燃料零售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7433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社会经济咨询</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居民服务业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电影放映</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家用电器零售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7439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其他专业咨询</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家庭服务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8940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音像制作</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计算机、软件及辅助设备零售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广告业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托儿所</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文化艺术业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6573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通讯设备零售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知识产权服务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洗染服务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文艺创作与表演</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6579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其他电子产品零售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职业中介服务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理发及美容保健服务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艺术表演场馆</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6581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五金零售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市场管理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洗浴服务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图书馆</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6582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家具零售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7480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旅行社</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婚姻服务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档案馆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6583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涂料零售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会议及展览服务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殡葬服务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9040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文物及文化保护</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6589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其他室内装修材料零售</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包装服务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8280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摄影扩印服务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9050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博物馆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66</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住宿业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7493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保安服务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8290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其他居民服务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9060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烈士陵园、纪念馆</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6610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旅游饭店</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7494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办公服务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其他服务业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9070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群众文化活动</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6620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一般旅馆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其他未列明的商务服务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汽车、摩托车维护与保养</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9080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文化艺术经纪代理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6690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其他住宿服务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办公设备维修</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9090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其他文化艺术</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67</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餐饮业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自然科学研究与试验发展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家用电器修理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体育</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正餐服务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工程和技术研究与试验发展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其他日用品修理</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体育组织</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6720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快餐服务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农业科学研究与试验发展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建筑物清洁服务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体育场馆</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6730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饮料及冷饮服务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医学研究与试验发展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其他清洁服务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9190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其他体育</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6790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其他餐饮服务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7550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社会人文科学研究与试验发展</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8390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其他未列明的服务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娱乐业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68</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银行业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专业技术服务业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室内娱乐活动</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6810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中央银行</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气象服务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学前教育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游乐园</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6820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商业银行</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地震服务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初等教育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9230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休闲健身娱乐活动</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6890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其他银行</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海洋服务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8431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初中教育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9290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其他娱乐活动</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证券业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测绘服务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8441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普通高等教育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中国共产党机关</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证券市场管理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技术检测</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8442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成人高等教育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9300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中国共产党机关</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证券经纪与交易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环境监测</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8491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职业技能培训</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国家机构</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证券投资</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7671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工程管理服务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8492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特殊教育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国家权力机构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6940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证券分析与咨询</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7672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工程勘察设计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8499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其他未列明的教育</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综合事物管理机构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70</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保险业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7673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规划管理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卫生</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对外事物管理机构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7010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人寿保险</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7690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其他专业技术服务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综合医院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公共安全管理机构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7020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非人寿保险</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77</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科技交流和推广服务业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中医医院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9424</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社会事物管理机构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7030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保险辅助服务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7710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技术推广服务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中西医结合医院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9425</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经济事物管理机构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其他金融活动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7720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科技中介服务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民族医院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9426</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政府事物管理机构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金融信托与管理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7790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其他科技服务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8515</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专科医院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9427</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行政监督检查机构</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金融租赁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地质勘查业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8516</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疗养院</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9431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人民法院</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财务公司</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能源矿产地质勘查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卫生院及社区医疗活动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9432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人民检察院</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邮政储蓄</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固体矿产地质勘查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门诊部医疗活动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9490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其他国家机构</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典当</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其他矿产地质勘查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8540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计划生育技术服务活动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95</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人民政协和民主党派</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7190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其他未列明的金融活动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基础地质勘查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8550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妇幼保健活动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9510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人民政协</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72</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房地产业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7830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地质勘查技术服务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8560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专科疾病防冶活动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9520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民主党派</w:t>
            </w:r>
          </w:p>
        </w:tc>
      </w:tr>
      <w:tr>
        <w:tblPrEx>
          <w:tblCellMar>
            <w:top w:w="0" w:type="dxa"/>
            <w:left w:w="0" w:type="dxa"/>
            <w:bottom w:w="0" w:type="dxa"/>
            <w:right w:w="0" w:type="dxa"/>
          </w:tblCellMar>
        </w:tblPrEx>
        <w:trPr>
          <w:trHeight w:val="576"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7210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房地产开发经营</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水利管理业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8570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疾病预防控制及防疫活动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群众团体、社会团体和宗教组织</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7220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物业管理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防洪管理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8590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其他卫生活动</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9611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工会</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7230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房地产中介服务</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水库管理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86</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社会保障业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9612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妇联</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7290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其他房地产活动</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调水、引水管理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8600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社会保障业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9613</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共青团</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租赁业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其他水资源管理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87</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社会福利业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9619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其他群众团体</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汽车租赁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7990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其他水利管理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8711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干部休养所</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9621</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专业性团体</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农业机械租赁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环境管理业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8712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收养收容服务</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9622</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行业性团体</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7313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建筑工程机械与设备租赁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8011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自然保护区管理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8720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不提供住宿的社会福利</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9629</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其他社会团体</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7314</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计算机及通讯设备租赁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8012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野生动植物保护</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新闻出版业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9630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宗教组织</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其他机械与设备租赁</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8019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其他自然保护</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8810</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新闻业</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97</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基层群众自治组织</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图书及音像制品出租</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城市市容管理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8821</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图书出版</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9710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社区自治组织</w:t>
            </w:r>
          </w:p>
        </w:tc>
      </w:tr>
      <w:tr>
        <w:tblPrEx>
          <w:tblCellMar>
            <w:top w:w="0" w:type="dxa"/>
            <w:left w:w="0" w:type="dxa"/>
            <w:bottom w:w="0" w:type="dxa"/>
            <w:right w:w="0" w:type="dxa"/>
          </w:tblCellMar>
        </w:tblPrEx>
        <w:trPr>
          <w:trHeight w:val="384"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7329</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其他文化及日用品出租</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城市环境卫生管理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8822</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报纸出版</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9720</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村民自治组织</w:t>
            </w:r>
          </w:p>
        </w:tc>
      </w:tr>
      <w:tr>
        <w:tblPrEx>
          <w:tblCellMar>
            <w:top w:w="0" w:type="dxa"/>
            <w:left w:w="0" w:type="dxa"/>
            <w:bottom w:w="0" w:type="dxa"/>
            <w:right w:w="0" w:type="dxa"/>
          </w:tblCellMar>
        </w:tblPrEx>
        <w:trPr>
          <w:trHeight w:val="312" w:hRule="atLeast"/>
        </w:trPr>
        <w:tc>
          <w:tcPr>
            <w:tcW w:w="580" w:type="dxa"/>
            <w:tcBorders>
              <w:top w:val="nil"/>
              <w:left w:val="single" w:color="auto" w:sz="8" w:space="0"/>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w:t>
            </w:r>
          </w:p>
        </w:tc>
        <w:tc>
          <w:tcPr>
            <w:tcW w:w="56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商务服务业</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水污染治理</w:t>
            </w:r>
          </w:p>
        </w:tc>
        <w:tc>
          <w:tcPr>
            <w:tcW w:w="48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8823</w:t>
            </w:r>
          </w:p>
        </w:tc>
        <w:tc>
          <w:tcPr>
            <w:tcW w:w="1060" w:type="dxa"/>
            <w:tcBorders>
              <w:top w:val="nil"/>
              <w:left w:val="nil"/>
              <w:bottom w:val="nil"/>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期刊出版</w:t>
            </w:r>
          </w:p>
        </w:tc>
        <w:tc>
          <w:tcPr>
            <w:tcW w:w="54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98</w:t>
            </w:r>
          </w:p>
        </w:tc>
        <w:tc>
          <w:tcPr>
            <w:tcW w:w="500" w:type="dxa"/>
            <w:tcBorders>
              <w:top w:val="nil"/>
              <w:left w:val="nil"/>
              <w:bottom w:val="nil"/>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1060" w:type="dxa"/>
            <w:tcBorders>
              <w:top w:val="nil"/>
              <w:left w:val="nil"/>
              <w:bottom w:val="nil"/>
              <w:right w:val="single" w:color="auto" w:sz="8" w:space="0"/>
            </w:tcBorders>
            <w:noWrap w:val="0"/>
            <w:tcMar>
              <w:top w:w="13" w:type="dxa"/>
              <w:left w:w="13" w:type="dxa"/>
              <w:bottom w:w="0" w:type="dxa"/>
              <w:right w:w="13" w:type="dxa"/>
            </w:tcMar>
            <w:vAlign w:val="top"/>
          </w:tcPr>
          <w:p>
            <w:pPr>
              <w:rPr>
                <w:rFonts w:ascii="黑体" w:hAnsi="宋体" w:eastAsia="黑体"/>
                <w:sz w:val="16"/>
                <w:szCs w:val="16"/>
              </w:rPr>
            </w:pPr>
            <w:r>
              <w:rPr>
                <w:rFonts w:hint="eastAsia" w:ascii="黑体" w:eastAsia="黑体"/>
                <w:sz w:val="16"/>
                <w:szCs w:val="16"/>
              </w:rPr>
              <w:t>国际组织</w:t>
            </w:r>
          </w:p>
        </w:tc>
      </w:tr>
      <w:tr>
        <w:tblPrEx>
          <w:tblCellMar>
            <w:top w:w="0" w:type="dxa"/>
            <w:left w:w="0" w:type="dxa"/>
            <w:bottom w:w="0" w:type="dxa"/>
            <w:right w:w="0" w:type="dxa"/>
          </w:tblCellMar>
        </w:tblPrEx>
        <w:trPr>
          <w:trHeight w:val="324" w:hRule="atLeast"/>
        </w:trPr>
        <w:tc>
          <w:tcPr>
            <w:tcW w:w="580" w:type="dxa"/>
            <w:tcBorders>
              <w:top w:val="nil"/>
              <w:left w:val="single" w:color="auto" w:sz="8" w:space="0"/>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7411</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企业管理机构</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8024</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危险废物治理</w:t>
            </w:r>
          </w:p>
        </w:tc>
        <w:tc>
          <w:tcPr>
            <w:tcW w:w="48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8824</w:t>
            </w:r>
          </w:p>
        </w:tc>
        <w:tc>
          <w:tcPr>
            <w:tcW w:w="1060" w:type="dxa"/>
            <w:tcBorders>
              <w:top w:val="nil"/>
              <w:left w:val="nil"/>
              <w:bottom w:val="single" w:color="auto" w:sz="8" w:space="0"/>
              <w:right w:val="double" w:color="auto" w:sz="6"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音像制品出版</w:t>
            </w:r>
          </w:p>
        </w:tc>
        <w:tc>
          <w:tcPr>
            <w:tcW w:w="54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rFonts w:hint="eastAsia"/>
                <w:sz w:val="16"/>
                <w:szCs w:val="16"/>
              </w:rPr>
              <w:t>　</w:t>
            </w:r>
          </w:p>
        </w:tc>
        <w:tc>
          <w:tcPr>
            <w:tcW w:w="50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jc w:val="center"/>
              <w:rPr>
                <w:sz w:val="16"/>
                <w:szCs w:val="16"/>
              </w:rPr>
            </w:pPr>
            <w:r>
              <w:rPr>
                <w:sz w:val="16"/>
                <w:szCs w:val="16"/>
              </w:rPr>
              <w:t>9800</w:t>
            </w:r>
          </w:p>
        </w:tc>
        <w:tc>
          <w:tcPr>
            <w:tcW w:w="1060" w:type="dxa"/>
            <w:tcBorders>
              <w:top w:val="nil"/>
              <w:left w:val="nil"/>
              <w:bottom w:val="single" w:color="auto" w:sz="8" w:space="0"/>
              <w:right w:val="single" w:color="auto" w:sz="8" w:space="0"/>
            </w:tcBorders>
            <w:noWrap w:val="0"/>
            <w:tcMar>
              <w:top w:w="13" w:type="dxa"/>
              <w:left w:w="13" w:type="dxa"/>
              <w:bottom w:w="0" w:type="dxa"/>
              <w:right w:w="13" w:type="dxa"/>
            </w:tcMar>
            <w:vAlign w:val="top"/>
          </w:tcPr>
          <w:p>
            <w:pPr>
              <w:rPr>
                <w:rFonts w:ascii="宋体" w:hAnsi="宋体"/>
                <w:sz w:val="16"/>
                <w:szCs w:val="16"/>
              </w:rPr>
            </w:pPr>
            <w:r>
              <w:rPr>
                <w:rFonts w:hint="eastAsia"/>
                <w:sz w:val="16"/>
                <w:szCs w:val="16"/>
              </w:rPr>
              <w:t>国际组织</w:t>
            </w:r>
          </w:p>
        </w:tc>
      </w:tr>
    </w:tbl>
    <w:p/>
    <w:p>
      <w:pPr>
        <w:rPr>
          <w:rFonts w:hint="eastAsia"/>
          <w:sz w:val="28"/>
        </w:rPr>
      </w:pPr>
    </w:p>
    <w:p>
      <w:bookmarkStart w:id="0" w:name="_GoBack"/>
      <w:bookmarkEnd w:id="0"/>
    </w:p>
    <w:sectPr>
      <w:footerReference r:id="rId3" w:type="default"/>
      <w:footerReference r:id="rId4" w:type="even"/>
      <w:footnotePr>
        <w:numFmt w:val="decimal"/>
      </w:footnotePr>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E8E"/>
    <w:multiLevelType w:val="singleLevel"/>
    <w:tmpl w:val="00A26E8E"/>
    <w:lvl w:ilvl="0" w:tentative="0">
      <w:start w:val="1"/>
      <w:numFmt w:val="japaneseCounting"/>
      <w:lvlText w:val="（%1）"/>
      <w:lvlJc w:val="left"/>
      <w:pPr>
        <w:tabs>
          <w:tab w:val="left" w:pos="1287"/>
        </w:tabs>
        <w:ind w:left="1287" w:hanging="720"/>
      </w:pPr>
      <w:rPr>
        <w:rFonts w:hint="eastAsia"/>
      </w:rPr>
    </w:lvl>
  </w:abstractNum>
  <w:abstractNum w:abstractNumId="1">
    <w:nsid w:val="2F9A631B"/>
    <w:multiLevelType w:val="singleLevel"/>
    <w:tmpl w:val="2F9A631B"/>
    <w:lvl w:ilvl="0" w:tentative="0">
      <w:start w:val="1"/>
      <w:numFmt w:val="japaneseCounting"/>
      <w:lvlText w:val="（%1）"/>
      <w:lvlJc w:val="left"/>
      <w:pPr>
        <w:tabs>
          <w:tab w:val="left" w:pos="720"/>
        </w:tabs>
        <w:ind w:left="720" w:hanging="720"/>
      </w:pPr>
      <w:rPr>
        <w:rFonts w:hint="eastAsia"/>
      </w:rPr>
    </w:lvl>
  </w:abstractNum>
  <w:abstractNum w:abstractNumId="2">
    <w:nsid w:val="75B44912"/>
    <w:multiLevelType w:val="singleLevel"/>
    <w:tmpl w:val="75B44912"/>
    <w:lvl w:ilvl="0" w:tentative="0">
      <w:start w:val="1"/>
      <w:numFmt w:val="japaneseCounting"/>
      <w:lvlText w:val="（%1）"/>
      <w:lvlJc w:val="left"/>
      <w:pPr>
        <w:tabs>
          <w:tab w:val="left" w:pos="720"/>
        </w:tabs>
        <w:ind w:left="720" w:hanging="7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39A8"/>
    <w:rsid w:val="56AA1B13"/>
    <w:rsid w:val="608C47DD"/>
    <w:rsid w:val="66703DA8"/>
    <w:rsid w:val="7AF11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1624"/>
    <w:pPr>
      <w:ind w:firstLine="567"/>
    </w:pPr>
    <w:rPr>
      <w:sz w:val="28"/>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2024-05-28T06:53:02Z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