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rPr>
        <w:t>出口货物税收函调系统操作规程（试行）</w:t>
      </w:r>
    </w:p>
    <w:bookmarkEnd w:id="0"/>
    <w:p/>
    <w:p>
      <w:r>
        <w:rPr>
          <w:rFonts w:hint="eastAsia"/>
        </w:rPr>
        <w:t>第一章  总  则</w:t>
      </w:r>
    </w:p>
    <w:p/>
    <w:p>
      <w:r>
        <w:rPr>
          <w:rFonts w:hint="eastAsia"/>
        </w:rPr>
        <w:t>第一条  为规范出口货物税收函调工作，提高出口货物税收函调质量和效率，根据《国家税务总局关于印发〈出口货物税收函调办法〉的通知》（国税发〔</w:t>
      </w:r>
      <w:r>
        <w:t>2006〕165号）文件精神，制定本规程。</w:t>
      </w:r>
    </w:p>
    <w:p/>
    <w:p>
      <w:r>
        <w:rPr>
          <w:rFonts w:hint="eastAsia"/>
        </w:rPr>
        <w:t>第二条  出口货物税收电子函调是指各级税务机关利用金税网络和“出口货物税收函调系统”（以下简称函调系统），完成出口货物税收函调的收发函和对下级单位收发函情况监控等工作。</w:t>
      </w:r>
    </w:p>
    <w:p/>
    <w:p>
      <w:r>
        <w:rPr>
          <w:rFonts w:hint="eastAsia"/>
        </w:rPr>
        <w:t>第三条  各主管出口退税的税务机关（以下简称退税机关）及出口货物供货企业所在地县以上税务机关（以下简称回函地税务机关）的发函、催办函以及回函、延期回函说明均应通过“函调系统”起草、签发，并传递电子函调信息。各种函件签发后以及收到各种函件后，均应通过函调系统打印函件及附件并存档。</w:t>
      </w:r>
    </w:p>
    <w:p/>
    <w:p>
      <w:r>
        <w:rPr>
          <w:rFonts w:hint="eastAsia"/>
        </w:rPr>
        <w:t>国税发〔</w:t>
      </w:r>
      <w:r>
        <w:t>2006〕165号文件第三条规定的出口企业与供货企业属于同一地市国税局或县国税局管辖的，原则上也应通过函调系统收、发函件。</w:t>
      </w:r>
    </w:p>
    <w:p/>
    <w:p>
      <w:r>
        <w:rPr>
          <w:rFonts w:hint="eastAsia"/>
        </w:rPr>
        <w:t>第二章  出口货物税收电子函调发函</w:t>
      </w:r>
    </w:p>
    <w:p/>
    <w:p>
      <w:r>
        <w:rPr>
          <w:rFonts w:hint="eastAsia"/>
        </w:rPr>
        <w:t>第四条  各级退税机关应按照国税发〔</w:t>
      </w:r>
      <w:r>
        <w:t>2006〕165号文件有关规定发函。退税机关负责发函的人员应使用“函调管理系统”起草发函。</w:t>
      </w:r>
    </w:p>
    <w:p/>
    <w:p>
      <w:r>
        <w:rPr>
          <w:rFonts w:hint="eastAsia"/>
        </w:rPr>
        <w:t>第五条  退税机关负责发函的人员使用函调系统起草发函时，应逐项填写发函内容及附件。对导入附件的发函，要将导入的附件与增值税专用发票进行核对，确保导入附件与增值税专用发票一致。在起草发函时，输入供货企业纳税人识别号后，系统将自动生成接收方税务机关代码，对生成的接收方税务机关代码原则上不需要修改。</w:t>
      </w:r>
    </w:p>
    <w:p/>
    <w:p>
      <w:r>
        <w:rPr>
          <w:rFonts w:hint="eastAsia"/>
        </w:rPr>
        <w:t>第六条  退税机关负责发函的人员在起草发函后，应通过函调系统转交给复核人员，复核人员在审核并签署意见后退回起草人员或转交给签发人员。</w:t>
      </w:r>
    </w:p>
    <w:p/>
    <w:p>
      <w:r>
        <w:rPr>
          <w:rFonts w:hint="eastAsia"/>
        </w:rPr>
        <w:t>第七条  退税机关负责发函的人员应定期通过函调系统查阅发函的回函情况，收到回函后应及时转交相关人员处理，在规定期限未收到回函地税务机关的电子回函，应及时通过函调系统发出催办函。</w:t>
      </w:r>
    </w:p>
    <w:p/>
    <w:p>
      <w:r>
        <w:rPr>
          <w:rFonts w:hint="eastAsia"/>
        </w:rPr>
        <w:t>第八条  发函以及催办函的电子函件与纸质发函具有相同的效力，退税机关通过函调系统发电子函调后，可不再邮寄纸质函件。</w:t>
      </w:r>
    </w:p>
    <w:p/>
    <w:p>
      <w:r>
        <w:rPr>
          <w:rFonts w:hint="eastAsia"/>
        </w:rPr>
        <w:t>第三章</w:t>
      </w:r>
      <w:r>
        <w:t xml:space="preserve"> 出口货物税收电子函调复函</w:t>
      </w:r>
    </w:p>
    <w:p/>
    <w:p>
      <w:r>
        <w:rPr>
          <w:rFonts w:hint="eastAsia"/>
        </w:rPr>
        <w:t>第九条  回函地税务机关应指派专人负责出口货物税收函调的接收工作。函调接收人员应在每个工作日登录函调系统查阅新函件。</w:t>
      </w:r>
    </w:p>
    <w:p/>
    <w:p>
      <w:r>
        <w:rPr>
          <w:rFonts w:hint="eastAsia"/>
        </w:rPr>
        <w:t>第十条  回函地税务机关在收到出口货物税收函调的发函电子信息后，应首先判断供货企业是否属于本税务机关管辖范围。不属于本税务机关管辖的，回复类型为“非本地区管理”的复函；属于本税务机关管辖的，根据电子函件的内容按照国税发〔</w:t>
      </w:r>
      <w:r>
        <w:t>2006〕165号文件规定对供货企业进行实地调查，并通过函调系统起草、复核、签发复函。复函应在30日内完成签发。</w:t>
      </w:r>
    </w:p>
    <w:p/>
    <w:p>
      <w:r>
        <w:rPr>
          <w:rFonts w:hint="eastAsia"/>
        </w:rPr>
        <w:t>第十一条  如因特殊原因不能在</w:t>
      </w:r>
      <w:r>
        <w:t>30日内回函的，回函地税务机关应通过函调系统起草延期复函，并在应回函时限（30日）内完成复核签发。延期复函应告知发函退税机关不能按期回函原因以及回函时限。延期复函的电子函件与纸质函件具有相同效力，回函地税务机关可不再邮寄纸质延期复函。</w:t>
      </w:r>
    </w:p>
    <w:p/>
    <w:p>
      <w:r>
        <w:rPr>
          <w:rFonts w:hint="eastAsia"/>
        </w:rPr>
        <w:t>第十二条  回函地税务机关在函调系统中签发复函后，应通过函调系统打印出纸质函件，并加盖公章后以挂号信或特快专递方式邮寄至发函退税机关。</w:t>
      </w:r>
    </w:p>
    <w:p/>
    <w:p>
      <w:r>
        <w:rPr>
          <w:rFonts w:hint="eastAsia"/>
        </w:rPr>
        <w:t>第十三条</w:t>
      </w:r>
      <w:r>
        <w:t xml:space="preserve"> 退税机关在收到回函地税务机关的回函电子函件后，如回函确认企业业务正常，退税机关可根据电子函件处理相关出口退税事宜；如回函确认企业业务异常或存在问题但尚未处理完毕的，退税机关需收到正式函件后再行处理。退税机关在收到回函电子函件15日后仍未收到纸质函件的，应通过电子函件中的联系方式主动与回函的税务机关进行联系。</w:t>
      </w:r>
    </w:p>
    <w:p/>
    <w:p>
      <w:r>
        <w:rPr>
          <w:rFonts w:hint="eastAsia"/>
        </w:rPr>
        <w:t>第四章  出口货物税收函调分析监控</w:t>
      </w:r>
    </w:p>
    <w:p/>
    <w:p>
      <w:r>
        <w:rPr>
          <w:rFonts w:hint="eastAsia"/>
        </w:rPr>
        <w:t>第十四条  各省国税局应依托函调系统抓好电子函调工作，建立内控制度。各省负责出口退税管理的部门要定期查看本地区收、发函情况，督促下级单位及时办理回函。</w:t>
      </w:r>
    </w:p>
    <w:p/>
    <w:p>
      <w:r>
        <w:rPr>
          <w:rFonts w:hint="eastAsia"/>
        </w:rPr>
        <w:t>第十五条  各地要定期利用函调系统，对本地区函件收发情况以及函调所反映的异常情况进行分析监控。</w:t>
      </w:r>
    </w:p>
    <w:p/>
    <w:p>
      <w:r>
        <w:rPr>
          <w:rFonts w:hint="eastAsia"/>
        </w:rPr>
        <w:t>第五章  出口货物税收函调系统管理</w:t>
      </w:r>
    </w:p>
    <w:p/>
    <w:p>
      <w:r>
        <w:rPr>
          <w:rFonts w:hint="eastAsia"/>
        </w:rPr>
        <w:t>第十六条  各地应按照税收信息一体化的要求参照综合征管系统编制单位代码和操作人员代码，指定专人做好代码的日常维护工作。</w:t>
      </w:r>
    </w:p>
    <w:p/>
    <w:p>
      <w:r>
        <w:rPr>
          <w:rFonts w:hint="eastAsia"/>
        </w:rPr>
        <w:t>第十七条  各级操作人员首次登陆应首先修改自己的密码，严禁使用他人账号收发或签发函件。</w:t>
      </w:r>
    </w:p>
    <w:p/>
    <w:p>
      <w:r>
        <w:rPr>
          <w:rFonts w:hint="eastAsia"/>
        </w:rPr>
        <w:t>第十八条  各类函件的起草和签发人员不得为同一人员。</w:t>
      </w:r>
    </w:p>
    <w:p/>
    <w:p>
      <w:r>
        <w:rPr>
          <w:rFonts w:hint="eastAsia"/>
        </w:rPr>
        <w:t>第十九条  本单位有签发权限的领导审核签发后，函件即行生效，任何人不得修改函件内容。</w:t>
      </w:r>
    </w:p>
    <w:p/>
    <w:p>
      <w:r>
        <w:rPr>
          <w:rFonts w:hint="eastAsia"/>
        </w:rPr>
        <w:t>第六章</w:t>
      </w:r>
      <w:r>
        <w:t xml:space="preserve"> 附  则</w:t>
      </w:r>
    </w:p>
    <w:p/>
    <w:p>
      <w:r>
        <w:rPr>
          <w:rFonts w:hint="eastAsia"/>
        </w:rPr>
        <w:t>第二十条  本办法由国家税务总局负责解释。</w:t>
      </w:r>
    </w:p>
    <w:p/>
    <w:p>
      <w:r>
        <w:rPr>
          <w:rFonts w:hint="eastAsia"/>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10FBD"/>
    <w:rsid w:val="05503791"/>
    <w:rsid w:val="0D71556D"/>
    <w:rsid w:val="0F732977"/>
    <w:rsid w:val="13BB6C34"/>
    <w:rsid w:val="14CE4621"/>
    <w:rsid w:val="1B30031F"/>
    <w:rsid w:val="1E803168"/>
    <w:rsid w:val="2232302C"/>
    <w:rsid w:val="4225487F"/>
    <w:rsid w:val="4CE81C3B"/>
    <w:rsid w:val="5002422F"/>
    <w:rsid w:val="58B16913"/>
    <w:rsid w:val="59AC65FC"/>
    <w:rsid w:val="5EDC6492"/>
    <w:rsid w:val="5FCB2E36"/>
    <w:rsid w:val="68A8798F"/>
    <w:rsid w:val="743D1199"/>
    <w:rsid w:val="78110F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一）"/>
    <w:basedOn w:val="1"/>
    <w:next w:val="5"/>
    <w:link w:val="10"/>
    <w:qFormat/>
    <w:uiPriority w:val="0"/>
    <w:pPr>
      <w:keepNext/>
      <w:keepLines/>
      <w:spacing w:line="700" w:lineRule="exact"/>
      <w:ind w:firstLine="480"/>
      <w:outlineLvl w:val="9"/>
    </w:pPr>
    <w:rPr>
      <w:rFonts w:hint="eastAsia" w:ascii="楷体_GB2312" w:hAnsi="楷体_GB2312" w:eastAsia="楷体_GB2312" w:cs="楷体_GB2312"/>
      <w:b/>
      <w:bCs/>
      <w:color w:val="auto"/>
      <w:kern w:val="0"/>
      <w:sz w:val="32"/>
      <w:szCs w:val="32"/>
    </w:rPr>
  </w:style>
  <w:style w:type="paragraph" w:customStyle="1" w:styleId="5">
    <w:name w:val="1.（1）"/>
    <w:basedOn w:val="1"/>
    <w:link w:val="11"/>
    <w:qFormat/>
    <w:uiPriority w:val="0"/>
    <w:pPr>
      <w:keepNext/>
      <w:keepLines/>
      <w:spacing w:line="700" w:lineRule="exact"/>
      <w:ind w:firstLine="402" w:firstLineChars="200"/>
      <w:jc w:val="left"/>
      <w:outlineLvl w:val="1"/>
    </w:pPr>
    <w:rPr>
      <w:rFonts w:hint="eastAsia" w:ascii="仿宋_GB2312" w:hAnsi="仿宋_GB2312" w:eastAsia="仿宋_GB2312" w:cs="仿宋_GB2312"/>
      <w:b/>
      <w:bCs/>
      <w:color w:val="auto"/>
      <w:kern w:val="0"/>
      <w:sz w:val="32"/>
      <w:szCs w:val="32"/>
    </w:rPr>
  </w:style>
  <w:style w:type="paragraph" w:customStyle="1" w:styleId="6">
    <w:name w:val="一、"/>
    <w:basedOn w:val="1"/>
    <w:next w:val="4"/>
    <w:qFormat/>
    <w:uiPriority w:val="0"/>
    <w:pPr>
      <w:keepNext/>
      <w:keepLines/>
      <w:spacing w:before="100" w:beforeLines="100" w:after="100" w:afterLines="100" w:line="700" w:lineRule="exact"/>
      <w:ind w:firstLine="0" w:firstLineChars="0"/>
      <w:jc w:val="center"/>
      <w:outlineLvl w:val="0"/>
    </w:pPr>
    <w:rPr>
      <w:rFonts w:hint="eastAsia" w:ascii="黑体" w:hAnsi="黑体" w:eastAsia="黑体" w:cs="Times New Roman"/>
      <w:kern w:val="44"/>
      <w:sz w:val="32"/>
      <w:szCs w:val="22"/>
    </w:rPr>
  </w:style>
  <w:style w:type="paragraph" w:customStyle="1" w:styleId="7">
    <w:name w:val="202303正文"/>
    <w:basedOn w:val="1"/>
    <w:link w:val="12"/>
    <w:qFormat/>
    <w:uiPriority w:val="0"/>
    <w:pPr>
      <w:spacing w:line="600" w:lineRule="exact"/>
      <w:ind w:firstLine="402" w:firstLineChars="200"/>
    </w:pPr>
    <w:rPr>
      <w:rFonts w:hint="eastAsia" w:ascii="仿宋_GB2312" w:hAnsi="仿宋_GB2312" w:eastAsia="仿宋_GB2312" w:cs="仿宋_GB2312"/>
      <w:color w:val="auto"/>
      <w:kern w:val="0"/>
      <w:sz w:val="32"/>
      <w:szCs w:val="32"/>
    </w:rPr>
  </w:style>
  <w:style w:type="paragraph" w:customStyle="1" w:styleId="8">
    <w:name w:val="第一章"/>
    <w:basedOn w:val="1"/>
    <w:next w:val="7"/>
    <w:qFormat/>
    <w:uiPriority w:val="0"/>
    <w:pPr>
      <w:spacing w:before="100" w:beforeLines="100" w:after="100" w:afterLines="100" w:line="700" w:lineRule="exact"/>
      <w:ind w:firstLine="0" w:firstLineChars="0"/>
      <w:jc w:val="center"/>
    </w:pPr>
    <w:rPr>
      <w:rFonts w:hint="eastAsia" w:ascii="楷体_GB2312" w:hAnsi="楷体_GB2312" w:eastAsia="黑体" w:cs="楷体_GB2312"/>
      <w:bCs/>
      <w:color w:val="auto"/>
      <w:kern w:val="0"/>
      <w:sz w:val="32"/>
      <w:szCs w:val="32"/>
    </w:rPr>
  </w:style>
  <w:style w:type="paragraph" w:customStyle="1" w:styleId="9">
    <w:name w:val="第一节"/>
    <w:basedOn w:val="1"/>
    <w:next w:val="6"/>
    <w:qFormat/>
    <w:uiPriority w:val="0"/>
    <w:pPr>
      <w:keepNext/>
      <w:keepLines/>
      <w:spacing w:line="700" w:lineRule="exact"/>
      <w:ind w:firstLine="0" w:firstLineChars="0"/>
      <w:jc w:val="center"/>
      <w:outlineLvl w:val="0"/>
    </w:pPr>
    <w:rPr>
      <w:rFonts w:hint="eastAsia" w:ascii="黑体" w:hAnsi="黑体" w:eastAsia="楷体_GB2312" w:cs="Times New Roman"/>
      <w:kern w:val="44"/>
      <w:sz w:val="32"/>
      <w:szCs w:val="22"/>
    </w:rPr>
  </w:style>
  <w:style w:type="character" w:customStyle="1" w:styleId="10">
    <w:name w:val="（一） Char"/>
    <w:link w:val="4"/>
    <w:qFormat/>
    <w:uiPriority w:val="0"/>
    <w:rPr>
      <w:rFonts w:hint="eastAsia" w:ascii="楷体_GB2312" w:hAnsi="楷体_GB2312" w:eastAsia="楷体_GB2312" w:cs="楷体_GB2312"/>
      <w:b/>
      <w:bCs/>
      <w:color w:val="auto"/>
      <w:kern w:val="0"/>
      <w:sz w:val="32"/>
      <w:szCs w:val="32"/>
    </w:rPr>
  </w:style>
  <w:style w:type="character" w:customStyle="1" w:styleId="11">
    <w:name w:val="1.（1） Char"/>
    <w:link w:val="5"/>
    <w:qFormat/>
    <w:uiPriority w:val="0"/>
    <w:rPr>
      <w:rFonts w:hint="eastAsia" w:ascii="仿宋_GB2312" w:hAnsi="仿宋_GB2312" w:eastAsia="仿宋_GB2312" w:cs="仿宋_GB2312"/>
      <w:b/>
      <w:bCs/>
      <w:color w:val="auto"/>
      <w:kern w:val="0"/>
      <w:sz w:val="32"/>
      <w:szCs w:val="32"/>
    </w:rPr>
  </w:style>
  <w:style w:type="character" w:customStyle="1" w:styleId="12">
    <w:name w:val="202303正文 Char"/>
    <w:link w:val="7"/>
    <w:qFormat/>
    <w:uiPriority w:val="0"/>
    <w:rPr>
      <w:rFonts w:hint="eastAsia" w:ascii="仿宋_GB2312" w:hAnsi="仿宋_GB2312" w:eastAsia="仿宋_GB2312" w:cs="仿宋_GB2312"/>
      <w:color w:val="auto"/>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2023-04-17T11:02:00Z</dcterms:created>
  <dc:creator>Dell</dc:creator>
  <cp:lastModifiedBy>Dell</cp:lastModifiedBy>
  <dcterms:modified xsi:type="dcterms:W3CDTF">2023-04-17T11:02:40Z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