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1B" w:rsidRPr="009A125F" w:rsidRDefault="001C3C1B" w:rsidP="001C3C1B">
      <w:pPr>
        <w:autoSpaceDE w:val="0"/>
        <w:autoSpaceDN w:val="0"/>
        <w:rPr>
          <w:rFonts w:ascii="黑体" w:eastAsia="黑体" w:hAnsi="宋体" w:cs="黑体"/>
          <w:sz w:val="32"/>
          <w:szCs w:val="32"/>
        </w:rPr>
      </w:pPr>
      <w:r w:rsidRPr="009A125F">
        <w:rPr>
          <w:rFonts w:ascii="黑体" w:eastAsia="黑体" w:hAnsi="宋体" w:cs="黑体" w:hint="eastAsia"/>
          <w:sz w:val="32"/>
          <w:szCs w:val="32"/>
        </w:rPr>
        <w:t>附件</w:t>
      </w:r>
      <w:r w:rsidRPr="009A125F">
        <w:rPr>
          <w:rFonts w:ascii="黑体" w:eastAsia="黑体" w:hAnsi="宋体" w:cs="黑体"/>
          <w:sz w:val="32"/>
          <w:szCs w:val="32"/>
        </w:rPr>
        <w:t>1</w:t>
      </w:r>
    </w:p>
    <w:p w:rsidR="001C3C1B" w:rsidRPr="009A125F" w:rsidRDefault="001C3C1B" w:rsidP="001C3C1B">
      <w:pPr>
        <w:autoSpaceDE w:val="0"/>
        <w:autoSpaceDN w:val="0"/>
        <w:rPr>
          <w:rFonts w:ascii="黑体" w:eastAsia="黑体" w:hAnsi="宋体" w:cs="黑体"/>
          <w:sz w:val="32"/>
          <w:szCs w:val="32"/>
        </w:rPr>
      </w:pPr>
    </w:p>
    <w:p w:rsidR="001C3C1B" w:rsidRPr="0048460A" w:rsidRDefault="001C3C1B" w:rsidP="001C3C1B">
      <w:pPr>
        <w:autoSpaceDE w:val="0"/>
        <w:autoSpaceDN w:val="0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48460A">
        <w:rPr>
          <w:rFonts w:ascii="仿宋_GB2312" w:eastAsia="仿宋_GB2312" w:hAnsi="宋体" w:cs="仿宋_GB2312" w:hint="eastAsia"/>
          <w:b/>
          <w:bCs/>
          <w:sz w:val="32"/>
          <w:szCs w:val="32"/>
        </w:rPr>
        <w:t>新能源汽车纯电动续驶里程要求</w:t>
      </w:r>
    </w:p>
    <w:p w:rsidR="001C3C1B" w:rsidRPr="0048460A" w:rsidRDefault="001C3C1B" w:rsidP="001C3C1B">
      <w:pPr>
        <w:autoSpaceDE w:val="0"/>
        <w:autoSpaceDN w:val="0"/>
        <w:spacing w:line="360" w:lineRule="auto"/>
        <w:rPr>
          <w:rFonts w:ascii="仿宋_GB2312" w:eastAsia="仿宋_GB2312" w:hAnsi="宋体"/>
          <w:b/>
          <w:bCs/>
          <w:sz w:val="32"/>
          <w:szCs w:val="32"/>
        </w:rPr>
      </w:pPr>
      <w:r w:rsidRPr="0048460A">
        <w:rPr>
          <w:rFonts w:ascii="仿宋_GB2312" w:eastAsia="仿宋_GB2312" w:hAnsi="宋体" w:cs="仿宋_GB2312"/>
          <w:b/>
          <w:bCs/>
          <w:sz w:val="32"/>
          <w:szCs w:val="32"/>
        </w:rPr>
        <w:t xml:space="preserve">                                                </w:t>
      </w:r>
      <w:r w:rsidRPr="0048460A">
        <w:rPr>
          <w:rFonts w:ascii="宋体" w:hAnsi="宋体" w:cs="宋体" w:hint="eastAsia"/>
          <w:b/>
          <w:bCs/>
        </w:rPr>
        <w:t>单位：</w:t>
      </w:r>
      <w:proofErr w:type="gramStart"/>
      <w:r w:rsidRPr="0048460A">
        <w:rPr>
          <w:rFonts w:ascii="宋体" w:hAnsi="宋体" w:cs="宋体"/>
          <w:b/>
          <w:bCs/>
        </w:rPr>
        <w:t>km</w:t>
      </w:r>
      <w:proofErr w:type="gramEnd"/>
    </w:p>
    <w:tbl>
      <w:tblPr>
        <w:tblW w:w="921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291"/>
        <w:gridCol w:w="1309"/>
        <w:gridCol w:w="1118"/>
        <w:gridCol w:w="1146"/>
        <w:gridCol w:w="1282"/>
        <w:gridCol w:w="2072"/>
      </w:tblGrid>
      <w:tr w:rsidR="001C3C1B" w:rsidRPr="009A125F" w:rsidTr="003038C2">
        <w:trPr>
          <w:trHeight w:val="965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48460A" w:rsidRDefault="001C3C1B" w:rsidP="003038C2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48460A">
              <w:rPr>
                <w:rFonts w:ascii="宋体" w:hAnsi="宋体" w:cs="宋体" w:hint="eastAsia"/>
                <w:b/>
                <w:bCs/>
              </w:rPr>
              <w:t>类</w:t>
            </w:r>
            <w:r w:rsidRPr="0048460A">
              <w:rPr>
                <w:rFonts w:ascii="宋体" w:hAnsi="宋体" w:cs="宋体"/>
                <w:b/>
                <w:bCs/>
              </w:rPr>
              <w:t xml:space="preserve">   </w:t>
            </w:r>
            <w:r w:rsidRPr="0048460A">
              <w:rPr>
                <w:rFonts w:ascii="宋体" w:hAnsi="宋体" w:cs="宋体" w:hint="eastAsia"/>
                <w:b/>
                <w:bCs/>
              </w:rPr>
              <w:t>别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48460A" w:rsidRDefault="001C3C1B" w:rsidP="003038C2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48460A">
              <w:rPr>
                <w:rFonts w:ascii="宋体" w:hAnsi="宋体" w:cs="宋体" w:hint="eastAsia"/>
                <w:b/>
                <w:bCs/>
              </w:rPr>
              <w:t>乘用车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48460A" w:rsidRDefault="001C3C1B" w:rsidP="003038C2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48460A">
              <w:rPr>
                <w:rFonts w:ascii="宋体" w:hAnsi="宋体" w:cs="宋体" w:hint="eastAsia"/>
                <w:b/>
                <w:bCs/>
              </w:rPr>
              <w:t>客车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48460A" w:rsidRDefault="001C3C1B" w:rsidP="003038C2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48460A">
              <w:rPr>
                <w:rFonts w:ascii="宋体" w:hAnsi="宋体" w:cs="宋体" w:hint="eastAsia"/>
                <w:b/>
                <w:bCs/>
              </w:rPr>
              <w:t>货车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48460A" w:rsidRDefault="001C3C1B" w:rsidP="003038C2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48460A">
              <w:rPr>
                <w:rFonts w:ascii="宋体" w:hAnsi="宋体" w:cs="宋体" w:hint="eastAsia"/>
                <w:b/>
                <w:bCs/>
              </w:rPr>
              <w:t>专用车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48460A" w:rsidRDefault="001C3C1B" w:rsidP="003038C2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48460A">
              <w:rPr>
                <w:rFonts w:ascii="宋体" w:hAnsi="宋体" w:cs="宋体" w:hint="eastAsia"/>
                <w:b/>
                <w:bCs/>
              </w:rPr>
              <w:t>测试方法</w:t>
            </w:r>
          </w:p>
        </w:tc>
      </w:tr>
      <w:tr w:rsidR="001C3C1B" w:rsidRPr="009A125F" w:rsidTr="003038C2">
        <w:trPr>
          <w:trHeight w:val="1288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48460A" w:rsidRDefault="001C3C1B" w:rsidP="003038C2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48460A">
              <w:rPr>
                <w:rFonts w:ascii="宋体" w:hAnsi="宋体" w:cs="宋体" w:hint="eastAsia"/>
                <w:b/>
                <w:bCs/>
              </w:rPr>
              <w:t>纯电动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 w:hint="eastAsia"/>
              </w:rPr>
              <w:t>≥</w:t>
            </w:r>
            <w:r w:rsidRPr="009A125F">
              <w:rPr>
                <w:rFonts w:ascii="宋体" w:hAnsi="宋体" w:cs="宋体"/>
              </w:rPr>
              <w:t>80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 w:hint="eastAsia"/>
              </w:rPr>
              <w:t>≥</w:t>
            </w:r>
            <w:r w:rsidRPr="009A125F">
              <w:rPr>
                <w:rFonts w:ascii="宋体" w:hAnsi="宋体" w:cs="宋体"/>
              </w:rPr>
              <w:t>150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 w:hint="eastAsia"/>
              </w:rPr>
              <w:t>≥</w:t>
            </w:r>
            <w:r w:rsidRPr="009A125F">
              <w:rPr>
                <w:rFonts w:ascii="宋体" w:hAnsi="宋体" w:cs="宋体"/>
              </w:rPr>
              <w:t>80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 w:hint="eastAsia"/>
              </w:rPr>
              <w:t>≥</w:t>
            </w:r>
            <w:r w:rsidRPr="009A125F">
              <w:rPr>
                <w:rFonts w:ascii="宋体" w:hAnsi="宋体" w:cs="宋体"/>
              </w:rPr>
              <w:t>80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/>
              </w:rPr>
              <w:t>M1</w:t>
            </w:r>
            <w:r w:rsidRPr="009A125F">
              <w:rPr>
                <w:rFonts w:ascii="宋体" w:hAnsi="宋体" w:cs="宋体" w:hint="eastAsia"/>
              </w:rPr>
              <w:t>、</w:t>
            </w:r>
            <w:r w:rsidRPr="009A125F">
              <w:rPr>
                <w:rFonts w:ascii="宋体" w:hAnsi="宋体" w:cs="宋体"/>
              </w:rPr>
              <w:t>N1</w:t>
            </w:r>
            <w:r w:rsidRPr="009A125F">
              <w:rPr>
                <w:rFonts w:ascii="宋体" w:hAnsi="宋体" w:cs="宋体" w:hint="eastAsia"/>
              </w:rPr>
              <w:t>类采用工况法，其他</w:t>
            </w:r>
            <w:proofErr w:type="gramStart"/>
            <w:r>
              <w:rPr>
                <w:rFonts w:ascii="宋体" w:hAnsi="宋体" w:cs="宋体" w:hint="eastAsia"/>
              </w:rPr>
              <w:t>暂</w:t>
            </w:r>
            <w:r w:rsidRPr="009A125F">
              <w:rPr>
                <w:rFonts w:ascii="宋体" w:hAnsi="宋体" w:cs="宋体" w:hint="eastAsia"/>
              </w:rPr>
              <w:t>采用</w:t>
            </w:r>
            <w:proofErr w:type="gramEnd"/>
            <w:r w:rsidRPr="009A125F">
              <w:rPr>
                <w:rFonts w:ascii="宋体" w:hAnsi="宋体" w:cs="宋体"/>
              </w:rPr>
              <w:t>40km/h</w:t>
            </w:r>
            <w:r w:rsidRPr="009A125F">
              <w:rPr>
                <w:rFonts w:ascii="宋体" w:hAnsi="宋体" w:cs="宋体" w:hint="eastAsia"/>
              </w:rPr>
              <w:t>等速法。</w:t>
            </w:r>
          </w:p>
        </w:tc>
      </w:tr>
      <w:tr w:rsidR="001C3C1B" w:rsidRPr="009A125F" w:rsidTr="003038C2">
        <w:trPr>
          <w:trHeight w:val="833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48460A" w:rsidRDefault="001C3C1B" w:rsidP="003038C2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48460A">
              <w:rPr>
                <w:rFonts w:ascii="宋体" w:hAnsi="宋体" w:cs="宋体" w:hint="eastAsia"/>
                <w:b/>
                <w:bCs/>
              </w:rPr>
              <w:t>插电式（</w:t>
            </w:r>
            <w:proofErr w:type="gramStart"/>
            <w:r w:rsidRPr="0048460A">
              <w:rPr>
                <w:rFonts w:ascii="宋体" w:hAnsi="宋体" w:cs="宋体" w:hint="eastAsia"/>
                <w:b/>
                <w:bCs/>
              </w:rPr>
              <w:t>含增程式</w:t>
            </w:r>
            <w:proofErr w:type="gramEnd"/>
            <w:r w:rsidRPr="0048460A">
              <w:rPr>
                <w:rFonts w:ascii="宋体" w:hAnsi="宋体" w:cs="宋体" w:hint="eastAsia"/>
                <w:b/>
                <w:bCs/>
              </w:rPr>
              <w:t>）</w:t>
            </w:r>
          </w:p>
          <w:p w:rsidR="001C3C1B" w:rsidRPr="0048460A" w:rsidRDefault="001C3C1B" w:rsidP="003038C2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48460A">
              <w:rPr>
                <w:rFonts w:ascii="宋体" w:hAnsi="宋体" w:cs="宋体" w:hint="eastAsia"/>
                <w:b/>
                <w:bCs/>
              </w:rPr>
              <w:t>混合动力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 w:hint="eastAsia"/>
              </w:rPr>
              <w:t>≥</w:t>
            </w:r>
            <w:r w:rsidRPr="009A125F">
              <w:rPr>
                <w:rFonts w:ascii="宋体" w:hAnsi="宋体" w:cs="宋体"/>
              </w:rPr>
              <w:t>50</w:t>
            </w:r>
          </w:p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（工况法）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 w:hint="eastAsia"/>
              </w:rPr>
              <w:t>≥</w:t>
            </w:r>
            <w:r w:rsidRPr="009A125F">
              <w:rPr>
                <w:rFonts w:ascii="宋体" w:hAnsi="宋体" w:cs="宋体"/>
              </w:rPr>
              <w:t>50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 w:hint="eastAsia"/>
              </w:rPr>
              <w:t>≥</w:t>
            </w:r>
            <w:r w:rsidRPr="009A125F">
              <w:rPr>
                <w:rFonts w:ascii="宋体" w:hAnsi="宋体" w:cs="宋体"/>
              </w:rPr>
              <w:t>50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 w:hint="eastAsia"/>
              </w:rPr>
              <w:t>≥</w:t>
            </w:r>
            <w:r w:rsidRPr="009A125F">
              <w:rPr>
                <w:rFonts w:ascii="宋体" w:hAnsi="宋体" w:cs="宋体"/>
              </w:rPr>
              <w:t>50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/>
              </w:rPr>
              <w:t>M1</w:t>
            </w:r>
            <w:r w:rsidRPr="009A125F">
              <w:rPr>
                <w:rFonts w:ascii="宋体" w:hAnsi="宋体" w:cs="宋体" w:hint="eastAsia"/>
              </w:rPr>
              <w:t>、</w:t>
            </w:r>
            <w:r w:rsidRPr="009A125F">
              <w:rPr>
                <w:rFonts w:ascii="宋体" w:hAnsi="宋体" w:cs="宋体"/>
              </w:rPr>
              <w:t>N1</w:t>
            </w:r>
            <w:r w:rsidRPr="009A125F">
              <w:rPr>
                <w:rFonts w:ascii="宋体" w:hAnsi="宋体" w:cs="宋体" w:hint="eastAsia"/>
              </w:rPr>
              <w:t>类采用工况法</w:t>
            </w:r>
            <w:r>
              <w:rPr>
                <w:rFonts w:ascii="宋体" w:hAnsi="宋体" w:cs="宋体" w:hint="eastAsia"/>
              </w:rPr>
              <w:t>或</w:t>
            </w:r>
            <w:r>
              <w:rPr>
                <w:rFonts w:ascii="宋体" w:hAnsi="宋体" w:cs="宋体"/>
              </w:rPr>
              <w:t>60km/h</w:t>
            </w:r>
            <w:r>
              <w:rPr>
                <w:rFonts w:ascii="宋体" w:hAnsi="宋体" w:cs="宋体" w:hint="eastAsia"/>
              </w:rPr>
              <w:t>等速法</w:t>
            </w:r>
            <w:r w:rsidRPr="009A125F">
              <w:rPr>
                <w:rFonts w:ascii="宋体" w:hAnsi="宋体" w:cs="宋体" w:hint="eastAsia"/>
              </w:rPr>
              <w:t>，其他</w:t>
            </w:r>
            <w:proofErr w:type="gramStart"/>
            <w:r>
              <w:rPr>
                <w:rFonts w:ascii="宋体" w:hAnsi="宋体" w:cs="宋体" w:hint="eastAsia"/>
              </w:rPr>
              <w:t>暂</w:t>
            </w:r>
            <w:r w:rsidRPr="009A125F">
              <w:rPr>
                <w:rFonts w:ascii="宋体" w:hAnsi="宋体" w:cs="宋体" w:hint="eastAsia"/>
              </w:rPr>
              <w:t>采用</w:t>
            </w:r>
            <w:proofErr w:type="gramEnd"/>
            <w:r w:rsidRPr="009A125F">
              <w:rPr>
                <w:rFonts w:ascii="宋体" w:hAnsi="宋体" w:cs="宋体"/>
              </w:rPr>
              <w:t>40km/h</w:t>
            </w:r>
            <w:r w:rsidRPr="009A125F">
              <w:rPr>
                <w:rFonts w:ascii="宋体" w:hAnsi="宋体" w:cs="宋体" w:hint="eastAsia"/>
              </w:rPr>
              <w:t>等速法。</w:t>
            </w:r>
          </w:p>
        </w:tc>
      </w:tr>
      <w:tr w:rsidR="001C3C1B" w:rsidRPr="009A125F" w:rsidTr="003038C2">
        <w:trPr>
          <w:trHeight w:val="832"/>
        </w:trPr>
        <w:tc>
          <w:tcPr>
            <w:tcW w:w="22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48460A" w:rsidRDefault="001C3C1B" w:rsidP="003038C2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 w:hint="eastAsia"/>
              </w:rPr>
              <w:t>≥</w:t>
            </w:r>
            <w:r>
              <w:rPr>
                <w:rFonts w:ascii="宋体" w:hAnsi="宋体" w:cs="宋体"/>
              </w:rPr>
              <w:t>70</w:t>
            </w:r>
          </w:p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（等速法）</w:t>
            </w:r>
          </w:p>
        </w:tc>
        <w:tc>
          <w:tcPr>
            <w:tcW w:w="1118" w:type="dxa"/>
            <w:vMerge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</w:p>
        </w:tc>
      </w:tr>
      <w:tr w:rsidR="001C3C1B" w:rsidRPr="009A125F" w:rsidTr="003038C2">
        <w:trPr>
          <w:trHeight w:val="132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48460A" w:rsidRDefault="001C3C1B" w:rsidP="003038C2">
            <w:pPr>
              <w:autoSpaceDE w:val="0"/>
              <w:autoSpaceDN w:val="0"/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48460A">
              <w:rPr>
                <w:rFonts w:ascii="宋体" w:hAnsi="宋体" w:cs="宋体" w:hint="eastAsia"/>
                <w:b/>
                <w:bCs/>
              </w:rPr>
              <w:t>燃料电池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 w:hint="eastAsia"/>
              </w:rPr>
              <w:t>≥</w:t>
            </w:r>
            <w:r w:rsidRPr="009A125F">
              <w:rPr>
                <w:rFonts w:ascii="宋体" w:hAnsi="宋体" w:cs="宋体"/>
              </w:rPr>
              <w:t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 w:hint="eastAsia"/>
              </w:rPr>
              <w:t>≥</w:t>
            </w:r>
            <w:r w:rsidRPr="009A125F">
              <w:rPr>
                <w:rFonts w:ascii="宋体" w:hAnsi="宋体" w:cs="宋体"/>
              </w:rPr>
              <w:t>150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 w:hint="eastAsia"/>
              </w:rPr>
              <w:t>≥</w:t>
            </w:r>
            <w:r w:rsidRPr="009A125F">
              <w:rPr>
                <w:rFonts w:ascii="宋体" w:hAnsi="宋体" w:cs="宋体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 w:hint="eastAsia"/>
              </w:rPr>
              <w:t>≥</w:t>
            </w:r>
            <w:r w:rsidRPr="009A125F">
              <w:rPr>
                <w:rFonts w:ascii="宋体" w:hAnsi="宋体" w:cs="宋体"/>
              </w:rPr>
              <w:t>200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1B" w:rsidRPr="009A125F" w:rsidRDefault="001C3C1B" w:rsidP="003038C2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 w:rsidRPr="009A125F">
              <w:rPr>
                <w:rFonts w:ascii="宋体" w:hAnsi="宋体" w:cs="宋体"/>
              </w:rPr>
              <w:t>M1</w:t>
            </w:r>
            <w:r w:rsidRPr="009A125F">
              <w:rPr>
                <w:rFonts w:ascii="宋体" w:hAnsi="宋体" w:cs="宋体" w:hint="eastAsia"/>
              </w:rPr>
              <w:t>、</w:t>
            </w:r>
            <w:r w:rsidRPr="009A125F">
              <w:rPr>
                <w:rFonts w:ascii="宋体" w:hAnsi="宋体" w:cs="宋体"/>
              </w:rPr>
              <w:t>N1</w:t>
            </w:r>
            <w:r w:rsidRPr="009A125F">
              <w:rPr>
                <w:rFonts w:ascii="宋体" w:hAnsi="宋体" w:cs="宋体" w:hint="eastAsia"/>
              </w:rPr>
              <w:t>类采用工况法，其他</w:t>
            </w:r>
            <w:proofErr w:type="gramStart"/>
            <w:r>
              <w:rPr>
                <w:rFonts w:ascii="宋体" w:hAnsi="宋体" w:cs="宋体" w:hint="eastAsia"/>
              </w:rPr>
              <w:t>暂</w:t>
            </w:r>
            <w:r w:rsidRPr="009A125F">
              <w:rPr>
                <w:rFonts w:ascii="宋体" w:hAnsi="宋体" w:cs="宋体" w:hint="eastAsia"/>
              </w:rPr>
              <w:t>采用</w:t>
            </w:r>
            <w:proofErr w:type="gramEnd"/>
            <w:r w:rsidRPr="009A125F">
              <w:rPr>
                <w:rFonts w:ascii="宋体" w:hAnsi="宋体" w:cs="宋体"/>
              </w:rPr>
              <w:t>40km/h</w:t>
            </w:r>
            <w:r w:rsidRPr="009A125F">
              <w:rPr>
                <w:rFonts w:ascii="宋体" w:hAnsi="宋体" w:cs="宋体" w:hint="eastAsia"/>
              </w:rPr>
              <w:t>等速法。</w:t>
            </w:r>
          </w:p>
        </w:tc>
      </w:tr>
    </w:tbl>
    <w:p w:rsidR="001C3C1B" w:rsidRPr="009A125F" w:rsidRDefault="001C3C1B" w:rsidP="001C3C1B">
      <w:pPr>
        <w:autoSpaceDE w:val="0"/>
        <w:autoSpaceDN w:val="0"/>
        <w:spacing w:line="360" w:lineRule="auto"/>
        <w:ind w:firstLineChars="196" w:firstLine="412"/>
        <w:rPr>
          <w:rFonts w:ascii="宋体"/>
        </w:rPr>
      </w:pPr>
      <w:r w:rsidRPr="009A125F">
        <w:rPr>
          <w:rFonts w:ascii="宋体" w:hAnsi="宋体" w:cs="宋体" w:hint="eastAsia"/>
        </w:rPr>
        <w:t>注：</w:t>
      </w:r>
      <w:r w:rsidRPr="009A125F">
        <w:rPr>
          <w:rFonts w:ascii="宋体" w:hAnsi="宋体" w:cs="宋体"/>
        </w:rPr>
        <w:t>1.</w:t>
      </w:r>
      <w:r w:rsidRPr="009A125F">
        <w:rPr>
          <w:rFonts w:ascii="宋体" w:hAnsi="宋体" w:cs="宋体" w:hint="eastAsia"/>
        </w:rPr>
        <w:t>超级电容、钛酸</w:t>
      </w:r>
      <w:proofErr w:type="gramStart"/>
      <w:r w:rsidRPr="009A125F">
        <w:rPr>
          <w:rFonts w:ascii="宋体" w:hAnsi="宋体" w:cs="宋体" w:hint="eastAsia"/>
        </w:rPr>
        <w:t>锂快充纯</w:t>
      </w:r>
      <w:proofErr w:type="gramEnd"/>
      <w:r w:rsidRPr="009A125F">
        <w:rPr>
          <w:rFonts w:ascii="宋体" w:hAnsi="宋体" w:cs="宋体" w:hint="eastAsia"/>
        </w:rPr>
        <w:t>电动客车无纯电动续驶里程要求。</w:t>
      </w:r>
    </w:p>
    <w:p w:rsidR="001C3C1B" w:rsidRPr="009A125F" w:rsidRDefault="001C3C1B" w:rsidP="001C3C1B">
      <w:pPr>
        <w:autoSpaceDE w:val="0"/>
        <w:autoSpaceDN w:val="0"/>
        <w:spacing w:line="360" w:lineRule="auto"/>
        <w:ind w:firstLineChars="196" w:firstLine="412"/>
        <w:rPr>
          <w:rFonts w:ascii="宋体"/>
        </w:rPr>
      </w:pPr>
      <w:r w:rsidRPr="009A125F">
        <w:rPr>
          <w:rFonts w:ascii="宋体" w:hAnsi="宋体" w:cs="宋体"/>
        </w:rPr>
        <w:t xml:space="preserve">    2.M1</w:t>
      </w:r>
      <w:r w:rsidRPr="009A125F">
        <w:rPr>
          <w:rFonts w:ascii="宋体" w:hAnsi="宋体" w:cs="宋体" w:hint="eastAsia"/>
        </w:rPr>
        <w:t>类是指包括驾驶员座位在内，座位数不超过九座的载客车辆。</w:t>
      </w:r>
    </w:p>
    <w:p w:rsidR="001C3C1B" w:rsidRPr="009A125F" w:rsidRDefault="001C3C1B" w:rsidP="001C3C1B">
      <w:pPr>
        <w:autoSpaceDE w:val="0"/>
        <w:autoSpaceDN w:val="0"/>
        <w:spacing w:line="360" w:lineRule="auto"/>
        <w:ind w:firstLineChars="441" w:firstLine="926"/>
        <w:rPr>
          <w:rFonts w:ascii="宋体"/>
        </w:rPr>
      </w:pPr>
      <w:r w:rsidRPr="009A125F">
        <w:rPr>
          <w:rFonts w:ascii="宋体" w:hAnsi="宋体" w:cs="宋体"/>
        </w:rPr>
        <w:t xml:space="preserve"> N1</w:t>
      </w:r>
      <w:r w:rsidRPr="009A125F">
        <w:rPr>
          <w:rFonts w:ascii="宋体" w:hAnsi="宋体" w:cs="宋体" w:hint="eastAsia"/>
        </w:rPr>
        <w:t>类是指最大设计总质量不超过</w:t>
      </w:r>
      <w:r w:rsidRPr="009A125F">
        <w:rPr>
          <w:rFonts w:ascii="宋体" w:hAnsi="宋体" w:cs="宋体"/>
        </w:rPr>
        <w:t>3500kg</w:t>
      </w:r>
      <w:r w:rsidRPr="009A125F">
        <w:rPr>
          <w:rFonts w:ascii="宋体" w:hAnsi="宋体" w:cs="宋体" w:hint="eastAsia"/>
        </w:rPr>
        <w:t>的载货车辆。</w:t>
      </w:r>
    </w:p>
    <w:p w:rsidR="008323F3" w:rsidRDefault="008323F3" w:rsidP="001C3C1B">
      <w:bookmarkStart w:id="0" w:name="_GoBack"/>
      <w:bookmarkEnd w:id="0"/>
    </w:p>
    <w:sectPr w:rsidR="00832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1B"/>
    <w:rsid w:val="001C3C1B"/>
    <w:rsid w:val="0083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1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1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1</cp:revision>
  <dcterms:created xsi:type="dcterms:W3CDTF">2014-08-06T02:06:00Z</dcterms:created>
  <dcterms:modified xsi:type="dcterms:W3CDTF">2014-08-06T02:07:00Z</dcterms:modified>
</cp:coreProperties>
</file>